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3BA0D" w14:textId="77777777" w:rsidR="00A36BA5" w:rsidRPr="008270BA" w:rsidRDefault="00A36BA5">
      <w:pPr>
        <w:pStyle w:val="BodyText"/>
        <w:rPr>
          <w:rFonts w:ascii="Times New Roman"/>
          <w:w w:val="90"/>
          <w:sz w:val="20"/>
        </w:rPr>
      </w:pPr>
    </w:p>
    <w:p w14:paraId="52E58573" w14:textId="77777777" w:rsidR="00A36BA5" w:rsidRPr="008270BA" w:rsidRDefault="00A36BA5">
      <w:pPr>
        <w:pStyle w:val="BodyText"/>
        <w:rPr>
          <w:rFonts w:ascii="Times New Roman"/>
          <w:w w:val="90"/>
          <w:sz w:val="20"/>
        </w:rPr>
      </w:pPr>
    </w:p>
    <w:p w14:paraId="4A3D6904" w14:textId="77777777" w:rsidR="00A36BA5" w:rsidRPr="008270BA" w:rsidRDefault="00A36BA5">
      <w:pPr>
        <w:pStyle w:val="BodyText"/>
        <w:rPr>
          <w:rFonts w:ascii="Times New Roman"/>
          <w:w w:val="90"/>
          <w:sz w:val="20"/>
        </w:rPr>
      </w:pPr>
    </w:p>
    <w:p w14:paraId="30F288EF" w14:textId="77777777" w:rsidR="00A36BA5" w:rsidRPr="008270BA" w:rsidRDefault="00A36BA5">
      <w:pPr>
        <w:pStyle w:val="BodyText"/>
        <w:rPr>
          <w:rFonts w:ascii="Times New Roman"/>
          <w:w w:val="90"/>
          <w:sz w:val="20"/>
        </w:rPr>
      </w:pPr>
    </w:p>
    <w:p w14:paraId="637C016E" w14:textId="77777777" w:rsidR="00A36BA5" w:rsidRPr="008270BA" w:rsidRDefault="00A36BA5">
      <w:pPr>
        <w:pStyle w:val="BodyText"/>
        <w:rPr>
          <w:rFonts w:ascii="Times New Roman"/>
          <w:w w:val="90"/>
          <w:sz w:val="20"/>
        </w:rPr>
      </w:pPr>
    </w:p>
    <w:p w14:paraId="274FB32D" w14:textId="77777777" w:rsidR="00A36BA5" w:rsidRPr="008270BA" w:rsidRDefault="00A36BA5">
      <w:pPr>
        <w:pStyle w:val="BodyText"/>
        <w:rPr>
          <w:rFonts w:ascii="Times New Roman"/>
          <w:w w:val="90"/>
          <w:sz w:val="20"/>
        </w:rPr>
      </w:pPr>
    </w:p>
    <w:p w14:paraId="37999380" w14:textId="77777777" w:rsidR="00A36BA5" w:rsidRPr="008270BA" w:rsidRDefault="00A36BA5">
      <w:pPr>
        <w:pStyle w:val="BodyText"/>
        <w:rPr>
          <w:rFonts w:ascii="Times New Roman"/>
          <w:w w:val="90"/>
          <w:sz w:val="20"/>
        </w:rPr>
      </w:pPr>
    </w:p>
    <w:p w14:paraId="19BC5A49" w14:textId="77777777" w:rsidR="00A36BA5" w:rsidRPr="008270BA" w:rsidRDefault="00A36BA5">
      <w:pPr>
        <w:pStyle w:val="BodyText"/>
        <w:rPr>
          <w:rFonts w:ascii="Times New Roman"/>
          <w:w w:val="90"/>
          <w:sz w:val="20"/>
        </w:rPr>
      </w:pPr>
    </w:p>
    <w:p w14:paraId="69E0729E" w14:textId="77777777" w:rsidR="00A36BA5" w:rsidRPr="008270BA" w:rsidRDefault="00A36BA5">
      <w:pPr>
        <w:pStyle w:val="BodyText"/>
        <w:rPr>
          <w:rFonts w:ascii="Times New Roman"/>
          <w:w w:val="90"/>
          <w:sz w:val="20"/>
        </w:rPr>
      </w:pPr>
    </w:p>
    <w:p w14:paraId="6299F7E7" w14:textId="77777777" w:rsidR="00A36BA5" w:rsidRPr="008270BA" w:rsidRDefault="00A36BA5">
      <w:pPr>
        <w:pStyle w:val="BodyText"/>
        <w:rPr>
          <w:rFonts w:ascii="Times New Roman"/>
          <w:w w:val="90"/>
          <w:sz w:val="20"/>
        </w:rPr>
      </w:pPr>
    </w:p>
    <w:p w14:paraId="47C85752" w14:textId="77777777" w:rsidR="00A36BA5" w:rsidRPr="008270BA" w:rsidRDefault="00A36BA5">
      <w:pPr>
        <w:pStyle w:val="BodyText"/>
        <w:rPr>
          <w:rFonts w:ascii="Times New Roman"/>
          <w:w w:val="90"/>
          <w:sz w:val="20"/>
        </w:rPr>
      </w:pPr>
    </w:p>
    <w:p w14:paraId="6BCACF09" w14:textId="77777777" w:rsidR="00A36BA5" w:rsidRPr="008270BA" w:rsidRDefault="00A36BA5">
      <w:pPr>
        <w:pStyle w:val="BodyText"/>
        <w:spacing w:before="5"/>
        <w:rPr>
          <w:rFonts w:ascii="Times New Roman"/>
          <w:w w:val="90"/>
          <w:sz w:val="26"/>
        </w:rPr>
      </w:pPr>
    </w:p>
    <w:p w14:paraId="5E757BD6" w14:textId="77777777" w:rsidR="00A36BA5" w:rsidRPr="008270BA" w:rsidRDefault="008270BA">
      <w:pPr>
        <w:pStyle w:val="Title"/>
        <w:spacing w:line="228" w:lineRule="auto"/>
        <w:rPr>
          <w:w w:val="90"/>
        </w:rPr>
      </w:pPr>
      <w:r w:rsidRPr="008270BA">
        <w:rPr>
          <w:color w:val="4471C4"/>
          <w:w w:val="90"/>
        </w:rPr>
        <w:t>Plan comunitario para poner fin a la epidemia de VIH en Filadelfia</w:t>
      </w:r>
    </w:p>
    <w:p w14:paraId="5C1CAC6A" w14:textId="77777777" w:rsidR="00A36BA5" w:rsidRPr="008270BA" w:rsidRDefault="008270BA">
      <w:pPr>
        <w:spacing w:before="542"/>
        <w:ind w:left="174" w:right="867"/>
        <w:jc w:val="center"/>
        <w:rPr>
          <w:w w:val="90"/>
          <w:sz w:val="50"/>
        </w:rPr>
      </w:pPr>
      <w:r w:rsidRPr="008270BA">
        <w:rPr>
          <w:color w:val="4471C4"/>
          <w:w w:val="90"/>
          <w:sz w:val="50"/>
        </w:rPr>
        <w:t>1 de diciembre de 2020</w:t>
      </w:r>
    </w:p>
    <w:p w14:paraId="530F3905" w14:textId="77777777" w:rsidR="00A36BA5" w:rsidRPr="008270BA" w:rsidRDefault="00A36BA5">
      <w:pPr>
        <w:pStyle w:val="BodyText"/>
        <w:rPr>
          <w:w w:val="90"/>
          <w:sz w:val="20"/>
        </w:rPr>
      </w:pPr>
    </w:p>
    <w:p w14:paraId="0A0B5ED8" w14:textId="77777777" w:rsidR="00A36BA5" w:rsidRPr="008270BA" w:rsidRDefault="00A36BA5">
      <w:pPr>
        <w:pStyle w:val="BodyText"/>
        <w:rPr>
          <w:w w:val="90"/>
          <w:sz w:val="20"/>
        </w:rPr>
      </w:pPr>
    </w:p>
    <w:p w14:paraId="714238C4" w14:textId="77777777" w:rsidR="00A36BA5" w:rsidRPr="008270BA" w:rsidRDefault="00A36BA5">
      <w:pPr>
        <w:pStyle w:val="BodyText"/>
        <w:rPr>
          <w:w w:val="90"/>
          <w:sz w:val="20"/>
        </w:rPr>
      </w:pPr>
    </w:p>
    <w:p w14:paraId="1488AF2B" w14:textId="77777777" w:rsidR="00A36BA5" w:rsidRPr="008270BA" w:rsidRDefault="00A36BA5">
      <w:pPr>
        <w:pStyle w:val="BodyText"/>
        <w:rPr>
          <w:w w:val="90"/>
          <w:sz w:val="20"/>
        </w:rPr>
      </w:pPr>
    </w:p>
    <w:p w14:paraId="5AB4B0C1" w14:textId="77777777" w:rsidR="00A36BA5" w:rsidRPr="008270BA" w:rsidRDefault="00A36BA5">
      <w:pPr>
        <w:pStyle w:val="BodyText"/>
        <w:rPr>
          <w:w w:val="90"/>
          <w:sz w:val="20"/>
        </w:rPr>
      </w:pPr>
    </w:p>
    <w:p w14:paraId="60EDB56D" w14:textId="77777777" w:rsidR="00A36BA5" w:rsidRPr="008270BA" w:rsidRDefault="00A36BA5">
      <w:pPr>
        <w:pStyle w:val="BodyText"/>
        <w:rPr>
          <w:w w:val="90"/>
          <w:sz w:val="20"/>
        </w:rPr>
      </w:pPr>
    </w:p>
    <w:p w14:paraId="1A560438" w14:textId="77777777" w:rsidR="00A36BA5" w:rsidRPr="008270BA" w:rsidRDefault="00A36BA5">
      <w:pPr>
        <w:pStyle w:val="BodyText"/>
        <w:rPr>
          <w:w w:val="90"/>
          <w:sz w:val="20"/>
        </w:rPr>
      </w:pPr>
    </w:p>
    <w:p w14:paraId="70ECA837" w14:textId="77777777" w:rsidR="00A36BA5" w:rsidRPr="008270BA" w:rsidRDefault="00A36BA5">
      <w:pPr>
        <w:pStyle w:val="BodyText"/>
        <w:rPr>
          <w:w w:val="90"/>
          <w:sz w:val="20"/>
        </w:rPr>
      </w:pPr>
    </w:p>
    <w:p w14:paraId="41FE37F2" w14:textId="77777777" w:rsidR="00A36BA5" w:rsidRPr="008270BA" w:rsidRDefault="00A36BA5">
      <w:pPr>
        <w:pStyle w:val="BodyText"/>
        <w:rPr>
          <w:w w:val="90"/>
          <w:sz w:val="20"/>
        </w:rPr>
      </w:pPr>
    </w:p>
    <w:p w14:paraId="50B52364" w14:textId="77777777" w:rsidR="00A36BA5" w:rsidRPr="008270BA" w:rsidRDefault="00A36BA5">
      <w:pPr>
        <w:pStyle w:val="BodyText"/>
        <w:rPr>
          <w:w w:val="90"/>
          <w:sz w:val="20"/>
        </w:rPr>
      </w:pPr>
    </w:p>
    <w:p w14:paraId="501BA36C" w14:textId="77777777" w:rsidR="00A36BA5" w:rsidRPr="008270BA" w:rsidRDefault="00A36BA5">
      <w:pPr>
        <w:pStyle w:val="BodyText"/>
        <w:rPr>
          <w:w w:val="90"/>
          <w:sz w:val="20"/>
        </w:rPr>
      </w:pPr>
    </w:p>
    <w:p w14:paraId="4F5935E2" w14:textId="77777777" w:rsidR="00A36BA5" w:rsidRPr="008270BA" w:rsidRDefault="00A36BA5">
      <w:pPr>
        <w:pStyle w:val="BodyText"/>
        <w:rPr>
          <w:w w:val="90"/>
          <w:sz w:val="20"/>
        </w:rPr>
      </w:pPr>
    </w:p>
    <w:p w14:paraId="2C74FC2A" w14:textId="77777777" w:rsidR="00A36BA5" w:rsidRPr="008270BA" w:rsidRDefault="00A36BA5">
      <w:pPr>
        <w:pStyle w:val="BodyText"/>
        <w:rPr>
          <w:w w:val="90"/>
          <w:sz w:val="20"/>
        </w:rPr>
      </w:pPr>
    </w:p>
    <w:p w14:paraId="1EFAA1AA" w14:textId="77777777" w:rsidR="00A36BA5" w:rsidRPr="008270BA" w:rsidRDefault="00A36BA5">
      <w:pPr>
        <w:pStyle w:val="BodyText"/>
        <w:rPr>
          <w:w w:val="90"/>
          <w:sz w:val="20"/>
        </w:rPr>
      </w:pPr>
    </w:p>
    <w:p w14:paraId="1018B866" w14:textId="77777777" w:rsidR="00A36BA5" w:rsidRPr="008270BA" w:rsidRDefault="00A36BA5">
      <w:pPr>
        <w:pStyle w:val="BodyText"/>
        <w:rPr>
          <w:w w:val="90"/>
          <w:sz w:val="20"/>
        </w:rPr>
      </w:pPr>
    </w:p>
    <w:p w14:paraId="1F66D907" w14:textId="77777777" w:rsidR="00A36BA5" w:rsidRPr="008270BA" w:rsidRDefault="00A36BA5">
      <w:pPr>
        <w:pStyle w:val="BodyText"/>
        <w:rPr>
          <w:w w:val="90"/>
          <w:sz w:val="20"/>
        </w:rPr>
      </w:pPr>
    </w:p>
    <w:p w14:paraId="47A0AF52" w14:textId="77777777" w:rsidR="00A36BA5" w:rsidRPr="008270BA" w:rsidRDefault="00A36BA5">
      <w:pPr>
        <w:pStyle w:val="BodyText"/>
        <w:rPr>
          <w:w w:val="90"/>
          <w:sz w:val="20"/>
        </w:rPr>
      </w:pPr>
    </w:p>
    <w:p w14:paraId="7A72A517" w14:textId="77777777" w:rsidR="00A36BA5" w:rsidRPr="008270BA" w:rsidRDefault="00A36BA5">
      <w:pPr>
        <w:pStyle w:val="BodyText"/>
        <w:rPr>
          <w:w w:val="90"/>
          <w:sz w:val="20"/>
        </w:rPr>
      </w:pPr>
    </w:p>
    <w:p w14:paraId="1B346E6D" w14:textId="77777777" w:rsidR="00A36BA5" w:rsidRPr="008270BA" w:rsidRDefault="00A36BA5">
      <w:pPr>
        <w:pStyle w:val="BodyText"/>
        <w:rPr>
          <w:w w:val="90"/>
          <w:sz w:val="20"/>
        </w:rPr>
      </w:pPr>
    </w:p>
    <w:p w14:paraId="457D03DE" w14:textId="77777777" w:rsidR="00A36BA5" w:rsidRPr="008270BA" w:rsidRDefault="008270BA">
      <w:pPr>
        <w:pStyle w:val="BodyText"/>
        <w:spacing w:before="2"/>
        <w:rPr>
          <w:w w:val="90"/>
          <w:sz w:val="14"/>
        </w:rPr>
      </w:pPr>
      <w:r w:rsidRPr="008270BA">
        <w:rPr>
          <w:noProof/>
          <w:w w:val="90"/>
          <w:lang w:val="es-AR" w:eastAsia="es-AR"/>
        </w:rPr>
        <w:drawing>
          <wp:anchor distT="0" distB="0" distL="0" distR="0" simplePos="0" relativeHeight="251659776" behindDoc="0" locked="0" layoutInCell="1" allowOverlap="1" wp14:anchorId="3ED06FEF" wp14:editId="5D630707">
            <wp:simplePos x="0" y="0"/>
            <wp:positionH relativeFrom="page">
              <wp:posOffset>1452878</wp:posOffset>
            </wp:positionH>
            <wp:positionV relativeFrom="paragraph">
              <wp:posOffset>128507</wp:posOffset>
            </wp:positionV>
            <wp:extent cx="4765866" cy="95354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765866" cy="953547"/>
                    </a:xfrm>
                    <a:prstGeom prst="rect">
                      <a:avLst/>
                    </a:prstGeom>
                  </pic:spPr>
                </pic:pic>
              </a:graphicData>
            </a:graphic>
          </wp:anchor>
        </w:drawing>
      </w:r>
    </w:p>
    <w:p w14:paraId="680A454C" w14:textId="77777777" w:rsidR="00A36BA5" w:rsidRPr="008270BA" w:rsidRDefault="00A36BA5">
      <w:pPr>
        <w:rPr>
          <w:w w:val="90"/>
          <w:sz w:val="14"/>
        </w:rPr>
        <w:sectPr w:rsidR="00A36BA5" w:rsidRPr="008270BA">
          <w:type w:val="continuous"/>
          <w:pgSz w:w="12240" w:h="15840"/>
          <w:pgMar w:top="1500" w:right="980" w:bottom="280" w:left="1060" w:header="720" w:footer="720" w:gutter="0"/>
          <w:cols w:space="720"/>
        </w:sectPr>
      </w:pPr>
    </w:p>
    <w:p w14:paraId="6D1152CB" w14:textId="77777777" w:rsidR="00A36BA5" w:rsidRPr="008270BA" w:rsidRDefault="008270BA">
      <w:pPr>
        <w:spacing w:before="199"/>
        <w:ind w:left="573" w:right="650"/>
        <w:jc w:val="center"/>
        <w:rPr>
          <w:w w:val="90"/>
          <w:sz w:val="32"/>
        </w:rPr>
      </w:pPr>
      <w:r w:rsidRPr="008270BA">
        <w:rPr>
          <w:color w:val="2E5395"/>
          <w:w w:val="90"/>
          <w:sz w:val="32"/>
        </w:rPr>
        <w:lastRenderedPageBreak/>
        <w:t>Índice</w:t>
      </w:r>
    </w:p>
    <w:sdt>
      <w:sdtPr>
        <w:rPr>
          <w:b w:val="0"/>
          <w:bCs w:val="0"/>
          <w:w w:val="90"/>
        </w:rPr>
        <w:id w:val="781779579"/>
        <w:docPartObj>
          <w:docPartGallery w:val="Table of Contents"/>
          <w:docPartUnique/>
        </w:docPartObj>
      </w:sdtPr>
      <w:sdtEndPr/>
      <w:sdtContent>
        <w:p w14:paraId="4CA21BF3" w14:textId="72518862" w:rsidR="00A36BA5" w:rsidRPr="008270BA" w:rsidRDefault="00BE4382">
          <w:pPr>
            <w:pStyle w:val="TOC1"/>
            <w:tabs>
              <w:tab w:val="left" w:leader="dot" w:pos="9958"/>
            </w:tabs>
            <w:spacing w:before="686"/>
            <w:rPr>
              <w:w w:val="90"/>
            </w:rPr>
          </w:pPr>
          <w:hyperlink w:anchor="_TOC_250024" w:history="1">
            <w:r w:rsidR="00E45CC1">
              <w:rPr>
                <w:w w:val="90"/>
              </w:rPr>
              <w:t>Panorama epidemiológico</w:t>
            </w:r>
            <w:r w:rsidR="00E45CC1">
              <w:rPr>
                <w:w w:val="90"/>
              </w:rPr>
              <w:tab/>
              <w:t>5</w:t>
            </w:r>
          </w:hyperlink>
        </w:p>
        <w:p w14:paraId="021709D4" w14:textId="4B3330C5" w:rsidR="00A36BA5" w:rsidRPr="008270BA" w:rsidRDefault="008270BA">
          <w:pPr>
            <w:pStyle w:val="TOC2"/>
            <w:tabs>
              <w:tab w:val="left" w:leader="dot" w:pos="9958"/>
            </w:tabs>
            <w:rPr>
              <w:w w:val="90"/>
            </w:rPr>
          </w:pPr>
          <w:r w:rsidRPr="008270BA">
            <w:rPr>
              <w:w w:val="90"/>
            </w:rPr>
            <w:t>Características del VIH en Filadelfia</w:t>
          </w:r>
          <w:r w:rsidRPr="008270BA">
            <w:rPr>
              <w:rFonts w:ascii="Times New Roman"/>
              <w:w w:val="90"/>
            </w:rPr>
            <w:tab/>
          </w:r>
          <w:r w:rsidR="00E45CC1">
            <w:rPr>
              <w:w w:val="90"/>
            </w:rPr>
            <w:t>5</w:t>
          </w:r>
        </w:p>
        <w:p w14:paraId="48E0C79B" w14:textId="13D25858" w:rsidR="00A36BA5" w:rsidRPr="008270BA" w:rsidRDefault="00BE4382">
          <w:pPr>
            <w:pStyle w:val="TOC2"/>
            <w:tabs>
              <w:tab w:val="left" w:leader="dot" w:pos="9958"/>
            </w:tabs>
            <w:spacing w:before="147"/>
            <w:rPr>
              <w:w w:val="90"/>
            </w:rPr>
          </w:pPr>
          <w:hyperlink w:anchor="_TOC_250023" w:history="1">
            <w:r w:rsidR="008270BA" w:rsidRPr="008270BA">
              <w:rPr>
                <w:w w:val="90"/>
              </w:rPr>
              <w:t>Pilar uno:</w:t>
            </w:r>
          </w:hyperlink>
          <w:hyperlink w:anchor="_TOC_250023" w:history="1">
            <w:r w:rsidR="008270BA" w:rsidRPr="008270BA">
              <w:rPr>
                <w:w w:val="90"/>
              </w:rPr>
              <w:t xml:space="preserve"> </w:t>
            </w:r>
            <w:proofErr w:type="spellStart"/>
            <w:r w:rsidR="008270BA" w:rsidRPr="008270BA">
              <w:rPr>
                <w:w w:val="90"/>
              </w:rPr>
              <w:t>Diagnose</w:t>
            </w:r>
            <w:proofErr w:type="spellEnd"/>
            <w:r w:rsidR="008270BA" w:rsidRPr="008270BA">
              <w:rPr>
                <w:rFonts w:ascii="Times New Roman"/>
                <w:w w:val="90"/>
              </w:rPr>
              <w:tab/>
            </w:r>
          </w:hyperlink>
          <w:hyperlink w:anchor="_TOC_250023" w:history="1">
            <w:r w:rsidR="00E45CC1">
              <w:rPr>
                <w:w w:val="90"/>
              </w:rPr>
              <w:t>6</w:t>
            </w:r>
          </w:hyperlink>
        </w:p>
        <w:p w14:paraId="72566AFC" w14:textId="4EDD9002" w:rsidR="00A36BA5" w:rsidRPr="008270BA" w:rsidRDefault="00BE4382">
          <w:pPr>
            <w:pStyle w:val="TOC2"/>
            <w:tabs>
              <w:tab w:val="left" w:leader="dot" w:pos="9958"/>
            </w:tabs>
            <w:rPr>
              <w:w w:val="90"/>
            </w:rPr>
          </w:pPr>
          <w:hyperlink w:anchor="_TOC_250022" w:history="1">
            <w:r w:rsidR="008270BA" w:rsidRPr="008270BA">
              <w:rPr>
                <w:w w:val="90"/>
              </w:rPr>
              <w:t>Pilar dos:</w:t>
            </w:r>
          </w:hyperlink>
          <w:hyperlink w:anchor="_TOC_250022" w:history="1">
            <w:r w:rsidR="008270BA" w:rsidRPr="008270BA">
              <w:rPr>
                <w:w w:val="90"/>
              </w:rPr>
              <w:t xml:space="preserve"> </w:t>
            </w:r>
            <w:proofErr w:type="spellStart"/>
            <w:r w:rsidR="008270BA" w:rsidRPr="008270BA">
              <w:rPr>
                <w:w w:val="90"/>
              </w:rPr>
              <w:t>Treat</w:t>
            </w:r>
            <w:proofErr w:type="spellEnd"/>
            <w:r w:rsidR="008270BA" w:rsidRPr="008270BA">
              <w:rPr>
                <w:rFonts w:ascii="Times New Roman"/>
                <w:w w:val="90"/>
              </w:rPr>
              <w:tab/>
            </w:r>
          </w:hyperlink>
          <w:hyperlink w:anchor="_TOC_250022" w:history="1">
            <w:r w:rsidR="00E45CC1">
              <w:rPr>
                <w:w w:val="90"/>
              </w:rPr>
              <w:t>7</w:t>
            </w:r>
          </w:hyperlink>
        </w:p>
        <w:p w14:paraId="7853490B" w14:textId="517A4E5B" w:rsidR="00A36BA5" w:rsidRPr="008270BA" w:rsidRDefault="00BE4382">
          <w:pPr>
            <w:pStyle w:val="TOC2"/>
            <w:tabs>
              <w:tab w:val="left" w:leader="dot" w:pos="9958"/>
            </w:tabs>
            <w:spacing w:before="147"/>
            <w:rPr>
              <w:w w:val="90"/>
            </w:rPr>
          </w:pPr>
          <w:hyperlink w:anchor="_TOC_250021" w:history="1">
            <w:r w:rsidR="008270BA" w:rsidRPr="008270BA">
              <w:rPr>
                <w:w w:val="90"/>
              </w:rPr>
              <w:t>Pilar tres:</w:t>
            </w:r>
          </w:hyperlink>
          <w:hyperlink w:anchor="_TOC_250021" w:history="1">
            <w:r w:rsidR="008270BA" w:rsidRPr="008270BA">
              <w:rPr>
                <w:w w:val="90"/>
              </w:rPr>
              <w:t xml:space="preserve"> </w:t>
            </w:r>
            <w:proofErr w:type="spellStart"/>
            <w:r w:rsidR="008270BA" w:rsidRPr="008270BA">
              <w:rPr>
                <w:w w:val="90"/>
              </w:rPr>
              <w:t>Prevent</w:t>
            </w:r>
            <w:proofErr w:type="spellEnd"/>
            <w:r w:rsidR="008270BA" w:rsidRPr="008270BA">
              <w:rPr>
                <w:rFonts w:ascii="Times New Roman"/>
                <w:w w:val="90"/>
              </w:rPr>
              <w:tab/>
            </w:r>
          </w:hyperlink>
          <w:hyperlink w:anchor="_TOC_250021" w:history="1">
            <w:r w:rsidR="00E45CC1">
              <w:rPr>
                <w:w w:val="90"/>
              </w:rPr>
              <w:t>8</w:t>
            </w:r>
          </w:hyperlink>
        </w:p>
        <w:p w14:paraId="2E2622CF" w14:textId="5AA81E25" w:rsidR="00A36BA5" w:rsidRPr="008270BA" w:rsidRDefault="00BE4382">
          <w:pPr>
            <w:pStyle w:val="TOC2"/>
            <w:tabs>
              <w:tab w:val="left" w:leader="dot" w:pos="9958"/>
            </w:tabs>
            <w:rPr>
              <w:w w:val="90"/>
            </w:rPr>
          </w:pPr>
          <w:hyperlink w:anchor="_TOC_250020" w:history="1">
            <w:r w:rsidR="008270BA" w:rsidRPr="008270BA">
              <w:rPr>
                <w:w w:val="90"/>
              </w:rPr>
              <w:t>Pilar cuatro:</w:t>
            </w:r>
          </w:hyperlink>
          <w:hyperlink w:anchor="_TOC_250020" w:history="1">
            <w:r w:rsidR="008270BA" w:rsidRPr="008270BA">
              <w:rPr>
                <w:w w:val="90"/>
              </w:rPr>
              <w:t xml:space="preserve"> </w:t>
            </w:r>
            <w:proofErr w:type="spellStart"/>
            <w:r w:rsidR="008270BA" w:rsidRPr="008270BA">
              <w:rPr>
                <w:w w:val="90"/>
              </w:rPr>
              <w:t>Respond</w:t>
            </w:r>
            <w:proofErr w:type="spellEnd"/>
            <w:r w:rsidR="008270BA" w:rsidRPr="008270BA">
              <w:rPr>
                <w:rFonts w:ascii="Times New Roman"/>
                <w:w w:val="90"/>
              </w:rPr>
              <w:tab/>
            </w:r>
          </w:hyperlink>
          <w:hyperlink w:anchor="_TOC_250020" w:history="1">
            <w:r w:rsidR="00E45CC1">
              <w:rPr>
                <w:w w:val="90"/>
              </w:rPr>
              <w:t>9</w:t>
            </w:r>
          </w:hyperlink>
        </w:p>
        <w:p w14:paraId="081223C3" w14:textId="6734F994" w:rsidR="00A36BA5" w:rsidRPr="008270BA" w:rsidRDefault="00BE4382">
          <w:pPr>
            <w:pStyle w:val="TOC2"/>
            <w:tabs>
              <w:tab w:val="left" w:leader="dot" w:pos="9958"/>
            </w:tabs>
            <w:rPr>
              <w:w w:val="90"/>
            </w:rPr>
          </w:pPr>
          <w:hyperlink w:anchor="_TOC_250019" w:history="1">
            <w:r w:rsidR="00E45CC1">
              <w:rPr>
                <w:w w:val="90"/>
              </w:rPr>
              <w:t>Limitaciones</w:t>
            </w:r>
            <w:r w:rsidR="00E45CC1">
              <w:rPr>
                <w:w w:val="90"/>
              </w:rPr>
              <w:tab/>
              <w:t>10</w:t>
            </w:r>
          </w:hyperlink>
        </w:p>
        <w:p w14:paraId="3AF2AB09" w14:textId="4E6A0770" w:rsidR="00A36BA5" w:rsidRPr="008270BA" w:rsidRDefault="00BE4382">
          <w:pPr>
            <w:pStyle w:val="TOC1"/>
            <w:tabs>
              <w:tab w:val="left" w:leader="dot" w:pos="9958"/>
            </w:tabs>
            <w:spacing w:before="67"/>
            <w:rPr>
              <w:w w:val="90"/>
            </w:rPr>
          </w:pPr>
          <w:hyperlink w:anchor="_TOC_250018" w:history="1">
            <w:r>
              <w:rPr>
                <w:w w:val="90"/>
              </w:rPr>
              <w:t>Análisis situacional</w:t>
            </w:r>
            <w:r>
              <w:rPr>
                <w:w w:val="90"/>
              </w:rPr>
              <w:tab/>
              <w:t>10</w:t>
            </w:r>
          </w:hyperlink>
        </w:p>
        <w:p w14:paraId="0A983EC8" w14:textId="1B846E50" w:rsidR="00A36BA5" w:rsidRPr="008270BA" w:rsidRDefault="00BE4382">
          <w:pPr>
            <w:pStyle w:val="TOC2"/>
            <w:tabs>
              <w:tab w:val="left" w:leader="dot" w:pos="9846"/>
            </w:tabs>
            <w:rPr>
              <w:w w:val="90"/>
            </w:rPr>
          </w:pPr>
          <w:hyperlink w:anchor="_TOC_250017" w:history="1">
            <w:r>
              <w:rPr>
                <w:w w:val="90"/>
              </w:rPr>
              <w:t>Evaluación de necesidades</w:t>
            </w:r>
            <w:r>
              <w:rPr>
                <w:w w:val="90"/>
              </w:rPr>
              <w:tab/>
              <w:t>11</w:t>
            </w:r>
          </w:hyperlink>
        </w:p>
        <w:p w14:paraId="0DAD2F37" w14:textId="322FC3E1" w:rsidR="00A36BA5" w:rsidRPr="008270BA" w:rsidRDefault="00BE4382">
          <w:pPr>
            <w:pStyle w:val="TOC2"/>
            <w:tabs>
              <w:tab w:val="left" w:leader="dot" w:pos="9846"/>
            </w:tabs>
            <w:rPr>
              <w:w w:val="90"/>
            </w:rPr>
          </w:pPr>
          <w:hyperlink w:anchor="_TOC_250016" w:history="1">
            <w:r w:rsidR="008270BA" w:rsidRPr="008270BA">
              <w:rPr>
                <w:w w:val="90"/>
              </w:rPr>
              <w:t>Pilar 1:</w:t>
            </w:r>
          </w:hyperlink>
          <w:hyperlink w:anchor="_TOC_250016" w:history="1">
            <w:r w:rsidR="008270BA" w:rsidRPr="008270BA">
              <w:rPr>
                <w:w w:val="90"/>
              </w:rPr>
              <w:t xml:space="preserve"> </w:t>
            </w:r>
            <w:proofErr w:type="spellStart"/>
            <w:r w:rsidR="008270BA" w:rsidRPr="008270BA">
              <w:rPr>
                <w:w w:val="90"/>
              </w:rPr>
              <w:t>Diagnose</w:t>
            </w:r>
            <w:proofErr w:type="spellEnd"/>
            <w:r w:rsidR="008270BA" w:rsidRPr="008270BA">
              <w:rPr>
                <w:rFonts w:ascii="Times New Roman"/>
                <w:w w:val="90"/>
              </w:rPr>
              <w:tab/>
            </w:r>
          </w:hyperlink>
          <w:hyperlink w:anchor="_TOC_250016" w:history="1">
            <w:r>
              <w:rPr>
                <w:w w:val="90"/>
              </w:rPr>
              <w:t>15</w:t>
            </w:r>
          </w:hyperlink>
        </w:p>
        <w:p w14:paraId="47F8F911" w14:textId="7E3CFDEA" w:rsidR="00A36BA5" w:rsidRPr="00BE4382" w:rsidRDefault="00BE4382">
          <w:pPr>
            <w:pStyle w:val="TOC2"/>
            <w:tabs>
              <w:tab w:val="left" w:leader="dot" w:pos="9846"/>
            </w:tabs>
            <w:spacing w:before="147"/>
            <w:rPr>
              <w:w w:val="90"/>
              <w:lang w:val="en-US"/>
            </w:rPr>
          </w:pPr>
          <w:hyperlink w:anchor="_TOC_250015" w:history="1">
            <w:r w:rsidR="008270BA" w:rsidRPr="00BE4382">
              <w:rPr>
                <w:w w:val="90"/>
                <w:lang w:val="en-US"/>
              </w:rPr>
              <w:t>Pilar 2:</w:t>
            </w:r>
          </w:hyperlink>
          <w:hyperlink w:anchor="_TOC_250015" w:history="1">
            <w:r w:rsidR="008270BA" w:rsidRPr="00BE4382">
              <w:rPr>
                <w:w w:val="90"/>
                <w:lang w:val="en-US"/>
              </w:rPr>
              <w:t xml:space="preserve"> Treat</w:t>
            </w:r>
            <w:r w:rsidR="008270BA" w:rsidRPr="00BE4382">
              <w:rPr>
                <w:rFonts w:ascii="Times New Roman"/>
                <w:w w:val="90"/>
                <w:lang w:val="en-US"/>
              </w:rPr>
              <w:tab/>
            </w:r>
          </w:hyperlink>
          <w:hyperlink w:anchor="_TOC_250015" w:history="1">
            <w:r w:rsidRPr="00BE4382">
              <w:rPr>
                <w:w w:val="90"/>
                <w:lang w:val="en-US"/>
              </w:rPr>
              <w:t>18</w:t>
            </w:r>
          </w:hyperlink>
        </w:p>
        <w:p w14:paraId="3577E1D6" w14:textId="3CA6C0CE" w:rsidR="00A36BA5" w:rsidRPr="00BE4382" w:rsidRDefault="00BE4382">
          <w:pPr>
            <w:pStyle w:val="TOC2"/>
            <w:tabs>
              <w:tab w:val="left" w:leader="dot" w:pos="9846"/>
            </w:tabs>
            <w:rPr>
              <w:w w:val="90"/>
              <w:lang w:val="en-US"/>
            </w:rPr>
          </w:pPr>
          <w:hyperlink w:anchor="_TOC_250014" w:history="1">
            <w:r w:rsidR="008270BA" w:rsidRPr="00BE4382">
              <w:rPr>
                <w:w w:val="90"/>
                <w:lang w:val="en-US"/>
              </w:rPr>
              <w:t>Pilar 3:</w:t>
            </w:r>
          </w:hyperlink>
          <w:hyperlink w:anchor="_TOC_250014" w:history="1">
            <w:r w:rsidR="008270BA" w:rsidRPr="00BE4382">
              <w:rPr>
                <w:w w:val="90"/>
                <w:lang w:val="en-US"/>
              </w:rPr>
              <w:t xml:space="preserve"> Prevent</w:t>
            </w:r>
            <w:r w:rsidR="008270BA" w:rsidRPr="00BE4382">
              <w:rPr>
                <w:rFonts w:ascii="Times New Roman"/>
                <w:w w:val="90"/>
                <w:lang w:val="en-US"/>
              </w:rPr>
              <w:tab/>
            </w:r>
          </w:hyperlink>
          <w:hyperlink w:anchor="_TOC_250014" w:history="1">
            <w:r w:rsidRPr="00BE4382">
              <w:rPr>
                <w:w w:val="90"/>
                <w:lang w:val="en-US"/>
              </w:rPr>
              <w:t>19</w:t>
            </w:r>
          </w:hyperlink>
        </w:p>
        <w:p w14:paraId="531F8E5B" w14:textId="6DACA1AB" w:rsidR="00A36BA5" w:rsidRPr="00BE4382" w:rsidRDefault="00BE4382">
          <w:pPr>
            <w:pStyle w:val="TOC2"/>
            <w:tabs>
              <w:tab w:val="left" w:leader="dot" w:pos="9846"/>
            </w:tabs>
            <w:spacing w:before="147"/>
            <w:rPr>
              <w:w w:val="90"/>
              <w:lang w:val="es-ES"/>
            </w:rPr>
          </w:pPr>
          <w:hyperlink w:anchor="_TOC_250013" w:history="1">
            <w:r w:rsidR="008270BA" w:rsidRPr="00BE4382">
              <w:rPr>
                <w:w w:val="90"/>
                <w:lang w:val="es-ES"/>
              </w:rPr>
              <w:t>Pilar 4:</w:t>
            </w:r>
          </w:hyperlink>
          <w:hyperlink w:anchor="_TOC_250013" w:history="1">
            <w:r w:rsidR="008270BA" w:rsidRPr="00BE4382">
              <w:rPr>
                <w:w w:val="90"/>
                <w:lang w:val="es-ES"/>
              </w:rPr>
              <w:t xml:space="preserve"> </w:t>
            </w:r>
            <w:proofErr w:type="spellStart"/>
            <w:r w:rsidR="008270BA" w:rsidRPr="00BE4382">
              <w:rPr>
                <w:w w:val="90"/>
                <w:lang w:val="es-ES"/>
              </w:rPr>
              <w:t>Respond</w:t>
            </w:r>
            <w:proofErr w:type="spellEnd"/>
            <w:r w:rsidR="008270BA" w:rsidRPr="00BE4382">
              <w:rPr>
                <w:rFonts w:ascii="Times New Roman"/>
                <w:w w:val="90"/>
                <w:lang w:val="es-ES"/>
              </w:rPr>
              <w:tab/>
            </w:r>
          </w:hyperlink>
          <w:hyperlink w:anchor="_TOC_250013" w:history="1">
            <w:r w:rsidRPr="00BE4382">
              <w:rPr>
                <w:w w:val="90"/>
                <w:lang w:val="es-ES"/>
              </w:rPr>
              <w:t>20</w:t>
            </w:r>
          </w:hyperlink>
        </w:p>
        <w:p w14:paraId="7CA51B10" w14:textId="486FE79A" w:rsidR="00A36BA5" w:rsidRPr="008270BA" w:rsidRDefault="00BE4382">
          <w:pPr>
            <w:pStyle w:val="TOC1"/>
            <w:tabs>
              <w:tab w:val="left" w:leader="dot" w:pos="9846"/>
            </w:tabs>
            <w:rPr>
              <w:w w:val="90"/>
            </w:rPr>
          </w:pPr>
          <w:hyperlink w:anchor="_TOC_250012" w:history="1">
            <w:r>
              <w:rPr>
                <w:w w:val="90"/>
              </w:rPr>
              <w:t>Plan de Filadelfia para poner fin a la epidemia de VIH</w:t>
            </w:r>
            <w:r>
              <w:rPr>
                <w:w w:val="90"/>
              </w:rPr>
              <w:tab/>
              <w:t>23</w:t>
            </w:r>
          </w:hyperlink>
        </w:p>
        <w:p w14:paraId="650C2521" w14:textId="1F402BD7" w:rsidR="00A36BA5" w:rsidRPr="008270BA" w:rsidRDefault="00BE4382">
          <w:pPr>
            <w:pStyle w:val="TOC2"/>
            <w:tabs>
              <w:tab w:val="left" w:leader="dot" w:pos="9846"/>
            </w:tabs>
            <w:rPr>
              <w:w w:val="90"/>
              <w:lang w:val="en-US"/>
            </w:rPr>
          </w:pPr>
          <w:hyperlink w:anchor="_TOC_250011" w:history="1">
            <w:proofErr w:type="spellStart"/>
            <w:r>
              <w:rPr>
                <w:w w:val="90"/>
                <w:lang w:val="en-US"/>
              </w:rPr>
              <w:t>Principios</w:t>
            </w:r>
            <w:proofErr w:type="spellEnd"/>
            <w:r>
              <w:rPr>
                <w:w w:val="90"/>
                <w:lang w:val="en-US"/>
              </w:rPr>
              <w:t xml:space="preserve"> </w:t>
            </w:r>
            <w:proofErr w:type="spellStart"/>
            <w:r>
              <w:rPr>
                <w:w w:val="90"/>
                <w:lang w:val="en-US"/>
              </w:rPr>
              <w:t>guía</w:t>
            </w:r>
            <w:proofErr w:type="spellEnd"/>
            <w:r>
              <w:rPr>
                <w:w w:val="90"/>
                <w:lang w:val="en-US"/>
              </w:rPr>
              <w:tab/>
              <w:t>23</w:t>
            </w:r>
          </w:hyperlink>
        </w:p>
        <w:p w14:paraId="1DF9479F" w14:textId="6BDDA887" w:rsidR="00A36BA5" w:rsidRPr="008270BA" w:rsidRDefault="00BE4382">
          <w:pPr>
            <w:pStyle w:val="TOC2"/>
            <w:tabs>
              <w:tab w:val="left" w:leader="dot" w:pos="9846"/>
            </w:tabs>
            <w:rPr>
              <w:w w:val="90"/>
              <w:lang w:val="en-US"/>
            </w:rPr>
          </w:pPr>
          <w:hyperlink w:anchor="_TOC_250010" w:history="1">
            <w:r w:rsidR="008270BA" w:rsidRPr="008270BA">
              <w:rPr>
                <w:w w:val="90"/>
                <w:lang w:val="en-US"/>
              </w:rPr>
              <w:t>Pilar cero:</w:t>
            </w:r>
          </w:hyperlink>
          <w:hyperlink w:anchor="_TOC_250010" w:history="1">
            <w:r w:rsidR="008270BA" w:rsidRPr="008270BA">
              <w:rPr>
                <w:w w:val="90"/>
                <w:lang w:val="en-US"/>
              </w:rPr>
              <w:t xml:space="preserve"> The pillar that supports all other efforts</w:t>
            </w:r>
            <w:r w:rsidR="008270BA" w:rsidRPr="008270BA">
              <w:rPr>
                <w:rFonts w:ascii="Times New Roman"/>
                <w:w w:val="90"/>
                <w:lang w:val="en-US"/>
              </w:rPr>
              <w:tab/>
            </w:r>
          </w:hyperlink>
          <w:hyperlink w:anchor="_TOC_250010" w:history="1">
            <w:r>
              <w:rPr>
                <w:w w:val="90"/>
                <w:lang w:val="en-US"/>
              </w:rPr>
              <w:t>24</w:t>
            </w:r>
          </w:hyperlink>
        </w:p>
        <w:p w14:paraId="7F3D5010" w14:textId="4EF5045A" w:rsidR="00A36BA5" w:rsidRPr="008270BA" w:rsidRDefault="00BE4382">
          <w:pPr>
            <w:pStyle w:val="TOC2"/>
            <w:tabs>
              <w:tab w:val="left" w:leader="dot" w:pos="9846"/>
            </w:tabs>
            <w:spacing w:before="147"/>
            <w:rPr>
              <w:w w:val="90"/>
              <w:lang w:val="en-US"/>
            </w:rPr>
          </w:pPr>
          <w:hyperlink w:anchor="_TOC_250009" w:history="1">
            <w:r w:rsidR="008270BA" w:rsidRPr="008270BA">
              <w:rPr>
                <w:w w:val="90"/>
                <w:lang w:val="en-US"/>
              </w:rPr>
              <w:t>Pilar 1:</w:t>
            </w:r>
          </w:hyperlink>
          <w:hyperlink w:anchor="_TOC_250009" w:history="1">
            <w:r w:rsidR="008270BA" w:rsidRPr="008270BA">
              <w:rPr>
                <w:w w:val="90"/>
                <w:lang w:val="en-US"/>
              </w:rPr>
              <w:t xml:space="preserve"> Diagnose</w:t>
            </w:r>
            <w:r w:rsidR="008270BA" w:rsidRPr="008270BA">
              <w:rPr>
                <w:rFonts w:ascii="Times New Roman"/>
                <w:w w:val="90"/>
                <w:lang w:val="en-US"/>
              </w:rPr>
              <w:tab/>
            </w:r>
          </w:hyperlink>
          <w:hyperlink w:anchor="_TOC_250009" w:history="1">
            <w:r>
              <w:rPr>
                <w:w w:val="90"/>
                <w:lang w:val="en-US"/>
              </w:rPr>
              <w:t>25</w:t>
            </w:r>
          </w:hyperlink>
        </w:p>
        <w:p w14:paraId="6E356394" w14:textId="14BD41B0" w:rsidR="00A36BA5" w:rsidRPr="008270BA" w:rsidRDefault="00BE4382">
          <w:pPr>
            <w:pStyle w:val="TOC2"/>
            <w:tabs>
              <w:tab w:val="left" w:leader="dot" w:pos="9846"/>
            </w:tabs>
            <w:rPr>
              <w:w w:val="90"/>
              <w:lang w:val="en-US"/>
            </w:rPr>
          </w:pPr>
          <w:hyperlink w:anchor="_TOC_250008" w:history="1">
            <w:r w:rsidR="008270BA" w:rsidRPr="008270BA">
              <w:rPr>
                <w:w w:val="90"/>
                <w:lang w:val="en-US"/>
              </w:rPr>
              <w:t>Pilar 2:</w:t>
            </w:r>
          </w:hyperlink>
          <w:hyperlink w:anchor="_TOC_250008" w:history="1">
            <w:r w:rsidR="008270BA" w:rsidRPr="008270BA">
              <w:rPr>
                <w:w w:val="90"/>
                <w:lang w:val="en-US"/>
              </w:rPr>
              <w:t xml:space="preserve"> Treat</w:t>
            </w:r>
            <w:r w:rsidR="008270BA" w:rsidRPr="008270BA">
              <w:rPr>
                <w:rFonts w:ascii="Times New Roman"/>
                <w:w w:val="90"/>
                <w:lang w:val="en-US"/>
              </w:rPr>
              <w:tab/>
            </w:r>
          </w:hyperlink>
          <w:hyperlink w:anchor="_TOC_250008" w:history="1">
            <w:r>
              <w:rPr>
                <w:w w:val="90"/>
                <w:lang w:val="en-US"/>
              </w:rPr>
              <w:t>28</w:t>
            </w:r>
          </w:hyperlink>
        </w:p>
        <w:p w14:paraId="113A2904" w14:textId="4A2AD537" w:rsidR="00A36BA5" w:rsidRPr="008270BA" w:rsidRDefault="00BE4382">
          <w:pPr>
            <w:pStyle w:val="TOC2"/>
            <w:tabs>
              <w:tab w:val="left" w:leader="dot" w:pos="9846"/>
            </w:tabs>
            <w:spacing w:before="147"/>
            <w:rPr>
              <w:w w:val="90"/>
              <w:lang w:val="en-US"/>
            </w:rPr>
          </w:pPr>
          <w:hyperlink w:anchor="_TOC_250007" w:history="1">
            <w:r w:rsidR="008270BA" w:rsidRPr="008270BA">
              <w:rPr>
                <w:w w:val="90"/>
                <w:lang w:val="en-US"/>
              </w:rPr>
              <w:t>Pilar 3:</w:t>
            </w:r>
          </w:hyperlink>
          <w:hyperlink w:anchor="_TOC_250007" w:history="1">
            <w:r w:rsidR="008270BA" w:rsidRPr="008270BA">
              <w:rPr>
                <w:w w:val="90"/>
                <w:lang w:val="en-US"/>
              </w:rPr>
              <w:t xml:space="preserve"> Prevent</w:t>
            </w:r>
            <w:r w:rsidR="008270BA" w:rsidRPr="008270BA">
              <w:rPr>
                <w:rFonts w:ascii="Times New Roman"/>
                <w:w w:val="90"/>
                <w:lang w:val="en-US"/>
              </w:rPr>
              <w:tab/>
            </w:r>
          </w:hyperlink>
          <w:hyperlink w:anchor="_TOC_250007" w:history="1">
            <w:r>
              <w:rPr>
                <w:w w:val="90"/>
                <w:lang w:val="en-US"/>
              </w:rPr>
              <w:t>31</w:t>
            </w:r>
          </w:hyperlink>
        </w:p>
        <w:p w14:paraId="7F4448DA" w14:textId="74103C09" w:rsidR="00A36BA5" w:rsidRPr="008270BA" w:rsidRDefault="00BE4382">
          <w:pPr>
            <w:pStyle w:val="TOC2"/>
            <w:tabs>
              <w:tab w:val="left" w:leader="dot" w:pos="9846"/>
            </w:tabs>
            <w:rPr>
              <w:w w:val="90"/>
              <w:lang w:val="en-US"/>
            </w:rPr>
          </w:pPr>
          <w:hyperlink w:anchor="_TOC_250006" w:history="1">
            <w:r w:rsidR="008270BA" w:rsidRPr="008270BA">
              <w:rPr>
                <w:w w:val="90"/>
                <w:lang w:val="en-US"/>
              </w:rPr>
              <w:t>Pilar 4:</w:t>
            </w:r>
          </w:hyperlink>
          <w:hyperlink w:anchor="_TOC_250006" w:history="1">
            <w:r w:rsidR="008270BA" w:rsidRPr="008270BA">
              <w:rPr>
                <w:w w:val="90"/>
                <w:lang w:val="en-US"/>
              </w:rPr>
              <w:t xml:space="preserve"> Respond</w:t>
            </w:r>
            <w:r w:rsidR="008270BA" w:rsidRPr="008270BA">
              <w:rPr>
                <w:rFonts w:ascii="Times New Roman"/>
                <w:w w:val="90"/>
                <w:lang w:val="en-US"/>
              </w:rPr>
              <w:tab/>
            </w:r>
          </w:hyperlink>
          <w:hyperlink w:anchor="_TOC_250006" w:history="1">
            <w:r>
              <w:rPr>
                <w:w w:val="90"/>
                <w:lang w:val="en-US"/>
              </w:rPr>
              <w:t>34</w:t>
            </w:r>
          </w:hyperlink>
        </w:p>
        <w:p w14:paraId="79ABE18E" w14:textId="6B6F5AD6" w:rsidR="00A36BA5" w:rsidRPr="008270BA" w:rsidRDefault="00BE4382">
          <w:pPr>
            <w:pStyle w:val="TOC2"/>
            <w:tabs>
              <w:tab w:val="left" w:leader="dot" w:pos="9846"/>
            </w:tabs>
            <w:spacing w:before="147"/>
            <w:rPr>
              <w:w w:val="90"/>
              <w:lang w:val="en-US"/>
            </w:rPr>
          </w:pPr>
          <w:hyperlink w:anchor="_TOC_250005" w:history="1">
            <w:r w:rsidR="008270BA" w:rsidRPr="008270BA">
              <w:rPr>
                <w:w w:val="90"/>
                <w:lang w:val="en-US"/>
              </w:rPr>
              <w:t>Pilar 5:</w:t>
            </w:r>
          </w:hyperlink>
          <w:hyperlink w:anchor="_TOC_250005" w:history="1">
            <w:r w:rsidR="008270BA" w:rsidRPr="008270BA">
              <w:rPr>
                <w:w w:val="90"/>
                <w:lang w:val="en-US"/>
              </w:rPr>
              <w:t xml:space="preserve"> Workforce Development</w:t>
            </w:r>
            <w:r w:rsidR="008270BA" w:rsidRPr="008270BA">
              <w:rPr>
                <w:rFonts w:ascii="Times New Roman"/>
                <w:w w:val="90"/>
                <w:lang w:val="en-US"/>
              </w:rPr>
              <w:tab/>
            </w:r>
          </w:hyperlink>
          <w:hyperlink w:anchor="_TOC_250005" w:history="1">
            <w:r>
              <w:rPr>
                <w:w w:val="90"/>
                <w:lang w:val="en-US"/>
              </w:rPr>
              <w:t>35</w:t>
            </w:r>
          </w:hyperlink>
        </w:p>
        <w:p w14:paraId="51F90948" w14:textId="76B1CA41" w:rsidR="00A36BA5" w:rsidRPr="008270BA" w:rsidRDefault="00BE4382">
          <w:pPr>
            <w:pStyle w:val="TOC1"/>
            <w:tabs>
              <w:tab w:val="left" w:leader="dot" w:pos="9846"/>
            </w:tabs>
            <w:rPr>
              <w:w w:val="90"/>
              <w:lang w:val="en-US"/>
            </w:rPr>
          </w:pPr>
          <w:hyperlink w:anchor="_TOC_250004" w:history="1">
            <w:proofErr w:type="spellStart"/>
            <w:r>
              <w:rPr>
                <w:w w:val="90"/>
                <w:lang w:val="en-US"/>
              </w:rPr>
              <w:t>Apéndices</w:t>
            </w:r>
            <w:proofErr w:type="spellEnd"/>
            <w:r>
              <w:rPr>
                <w:w w:val="90"/>
                <w:lang w:val="en-US"/>
              </w:rPr>
              <w:tab/>
              <w:t>37</w:t>
            </w:r>
          </w:hyperlink>
        </w:p>
        <w:p w14:paraId="59E6035E" w14:textId="55CB0FC3" w:rsidR="00A36BA5" w:rsidRPr="008270BA" w:rsidRDefault="00BE4382">
          <w:pPr>
            <w:pStyle w:val="TOC2"/>
            <w:tabs>
              <w:tab w:val="left" w:leader="dot" w:pos="9846"/>
            </w:tabs>
            <w:spacing w:line="247" w:lineRule="auto"/>
            <w:ind w:right="128"/>
            <w:rPr>
              <w:w w:val="90"/>
              <w:lang w:val="en-US"/>
            </w:rPr>
          </w:pPr>
          <w:hyperlink w:anchor="_TOC_250003" w:history="1">
            <w:proofErr w:type="spellStart"/>
            <w:r w:rsidR="008270BA" w:rsidRPr="008270BA">
              <w:rPr>
                <w:w w:val="90"/>
                <w:lang w:val="en-US"/>
              </w:rPr>
              <w:t>Apéndice</w:t>
            </w:r>
            <w:proofErr w:type="spellEnd"/>
            <w:r w:rsidR="008270BA" w:rsidRPr="008270BA">
              <w:rPr>
                <w:w w:val="90"/>
                <w:lang w:val="en-US"/>
              </w:rPr>
              <w:t xml:space="preserve"> A:</w:t>
            </w:r>
          </w:hyperlink>
          <w:hyperlink w:anchor="_TOC_250003" w:history="1">
            <w:r w:rsidR="008270BA" w:rsidRPr="008270BA">
              <w:rPr>
                <w:w w:val="90"/>
                <w:lang w:val="en-US"/>
              </w:rPr>
              <w:t xml:space="preserve"> Priority Populations for the City of Philadelphia’s Ending the HIV </w:t>
            </w:r>
            <w:proofErr w:type="spellStart"/>
            <w:r w:rsidR="008270BA" w:rsidRPr="008270BA">
              <w:rPr>
                <w:w w:val="90"/>
                <w:lang w:val="en-US"/>
              </w:rPr>
              <w:t>EpidemicPlanforPillar</w:t>
            </w:r>
            <w:proofErr w:type="spellEnd"/>
            <w:r w:rsidR="008270BA" w:rsidRPr="008270BA">
              <w:rPr>
                <w:w w:val="90"/>
                <w:lang w:val="en-US"/>
              </w:rPr>
              <w:t xml:space="preserve"> </w:t>
            </w:r>
            <w:proofErr w:type="gramStart"/>
            <w:r w:rsidR="008270BA" w:rsidRPr="008270BA">
              <w:rPr>
                <w:w w:val="90"/>
                <w:lang w:val="en-US"/>
              </w:rPr>
              <w:t>1:Diagnose</w:t>
            </w:r>
            <w:proofErr w:type="gramEnd"/>
            <w:r w:rsidR="008270BA" w:rsidRPr="008270BA">
              <w:rPr>
                <w:w w:val="90"/>
                <w:lang w:val="en-US"/>
              </w:rPr>
              <w:t xml:space="preserve"> andPillar3:Prevent</w:t>
            </w:r>
            <w:r w:rsidR="008270BA" w:rsidRPr="008270BA">
              <w:rPr>
                <w:rFonts w:ascii="Times New Roman" w:hAnsi="Times New Roman"/>
                <w:w w:val="90"/>
                <w:lang w:val="en-US"/>
              </w:rPr>
              <w:tab/>
            </w:r>
          </w:hyperlink>
          <w:hyperlink w:anchor="_TOC_250003" w:history="1">
            <w:r>
              <w:rPr>
                <w:w w:val="90"/>
                <w:lang w:val="en-US"/>
              </w:rPr>
              <w:t>37</w:t>
            </w:r>
          </w:hyperlink>
        </w:p>
        <w:p w14:paraId="681C22C9" w14:textId="14012015" w:rsidR="00A36BA5" w:rsidRPr="008270BA" w:rsidRDefault="00BE4382">
          <w:pPr>
            <w:pStyle w:val="TOC2"/>
            <w:tabs>
              <w:tab w:val="left" w:leader="dot" w:pos="9846"/>
            </w:tabs>
            <w:spacing w:before="139"/>
            <w:rPr>
              <w:w w:val="90"/>
            </w:rPr>
          </w:pPr>
          <w:hyperlink w:anchor="_TOC_250002" w:history="1">
            <w:r w:rsidR="008270BA" w:rsidRPr="008270BA">
              <w:rPr>
                <w:w w:val="90"/>
              </w:rPr>
              <w:t>Apéndice B:</w:t>
            </w:r>
          </w:hyperlink>
          <w:hyperlink w:anchor="_TOC_250002" w:history="1">
            <w:r w:rsidR="008270BA" w:rsidRPr="008270BA">
              <w:rPr>
                <w:w w:val="90"/>
              </w:rPr>
              <w:t xml:space="preserve"> Poblaciones de prioridad para el Pilar 2 del Plan de la Ciudad de Filadelfia para Poner Fin a la Epidemia de VIH:</w:t>
            </w:r>
          </w:hyperlink>
          <w:hyperlink w:anchor="_TOC_250002" w:history="1">
            <w:r w:rsidR="008270BA" w:rsidRPr="008270BA">
              <w:rPr>
                <w:w w:val="90"/>
              </w:rPr>
              <w:t xml:space="preserve"> </w:t>
            </w:r>
            <w:proofErr w:type="spellStart"/>
            <w:r w:rsidR="008270BA" w:rsidRPr="008270BA">
              <w:rPr>
                <w:w w:val="90"/>
              </w:rPr>
              <w:t>Treat</w:t>
            </w:r>
            <w:proofErr w:type="spellEnd"/>
            <w:r w:rsidR="008270BA" w:rsidRPr="008270BA">
              <w:rPr>
                <w:rFonts w:ascii="Times New Roman" w:hAnsi="Times New Roman"/>
                <w:w w:val="90"/>
              </w:rPr>
              <w:tab/>
            </w:r>
          </w:hyperlink>
          <w:hyperlink w:anchor="_TOC_250002" w:history="1">
            <w:r>
              <w:rPr>
                <w:w w:val="90"/>
              </w:rPr>
              <w:t>39</w:t>
            </w:r>
          </w:hyperlink>
        </w:p>
        <w:p w14:paraId="1A6F599B" w14:textId="31063CE8" w:rsidR="00A36BA5" w:rsidRPr="00BE4382" w:rsidRDefault="00BE4382">
          <w:pPr>
            <w:pStyle w:val="TOC2"/>
            <w:tabs>
              <w:tab w:val="left" w:leader="dot" w:pos="9846"/>
            </w:tabs>
            <w:rPr>
              <w:w w:val="90"/>
              <w:lang w:val="en-US"/>
            </w:rPr>
          </w:pPr>
          <w:hyperlink w:anchor="_TOC_250001" w:history="1">
            <w:proofErr w:type="spellStart"/>
            <w:r w:rsidR="008270BA" w:rsidRPr="008270BA">
              <w:rPr>
                <w:w w:val="90"/>
                <w:lang w:val="en-US"/>
              </w:rPr>
              <w:t>Apéndice</w:t>
            </w:r>
            <w:proofErr w:type="spellEnd"/>
            <w:r w:rsidR="008270BA" w:rsidRPr="008270BA">
              <w:rPr>
                <w:w w:val="90"/>
                <w:lang w:val="en-US"/>
              </w:rPr>
              <w:t xml:space="preserve"> C:</w:t>
            </w:r>
          </w:hyperlink>
          <w:hyperlink w:anchor="_TOC_250001" w:history="1">
            <w:r w:rsidR="008270BA" w:rsidRPr="008270BA">
              <w:rPr>
                <w:w w:val="90"/>
                <w:lang w:val="en-US"/>
              </w:rPr>
              <w:t xml:space="preserve"> Modified HIV Care Continuum Definitions by Stage</w:t>
            </w:r>
            <w:r w:rsidR="008270BA" w:rsidRPr="008270BA">
              <w:rPr>
                <w:rFonts w:ascii="Times New Roman"/>
                <w:w w:val="90"/>
                <w:lang w:val="en-US"/>
              </w:rPr>
              <w:tab/>
            </w:r>
          </w:hyperlink>
          <w:r w:rsidRPr="00BE4382">
            <w:rPr>
              <w:lang w:val="en-US"/>
            </w:rPr>
            <w:t>4</w:t>
          </w:r>
          <w:r>
            <w:rPr>
              <w:lang w:val="en-US"/>
            </w:rPr>
            <w:t>1</w:t>
          </w:r>
        </w:p>
        <w:p w14:paraId="3CCD47F4" w14:textId="677FBEC1" w:rsidR="00A36BA5" w:rsidRPr="008270BA" w:rsidRDefault="00BE4382">
          <w:pPr>
            <w:pStyle w:val="TOC2"/>
            <w:tabs>
              <w:tab w:val="left" w:leader="dot" w:pos="9846"/>
            </w:tabs>
            <w:spacing w:before="147"/>
            <w:rPr>
              <w:w w:val="90"/>
            </w:rPr>
          </w:pPr>
          <w:hyperlink w:anchor="_TOC_250000" w:history="1">
            <w:r w:rsidR="008270BA" w:rsidRPr="008270BA">
              <w:rPr>
                <w:w w:val="90"/>
              </w:rPr>
              <w:t>Apéndice D:</w:t>
            </w:r>
          </w:hyperlink>
          <w:hyperlink w:anchor="_TOC_250000" w:history="1">
            <w:r w:rsidR="008270BA" w:rsidRPr="008270BA">
              <w:rPr>
                <w:w w:val="90"/>
              </w:rPr>
              <w:t xml:space="preserve"> </w:t>
            </w:r>
            <w:proofErr w:type="spellStart"/>
            <w:r w:rsidR="008270BA" w:rsidRPr="008270BA">
              <w:rPr>
                <w:w w:val="90"/>
              </w:rPr>
              <w:t>Citations</w:t>
            </w:r>
            <w:proofErr w:type="spellEnd"/>
            <w:r w:rsidR="008270BA" w:rsidRPr="008270BA">
              <w:rPr>
                <w:rFonts w:ascii="Times New Roman"/>
                <w:w w:val="90"/>
              </w:rPr>
              <w:tab/>
            </w:r>
          </w:hyperlink>
          <w:r>
            <w:t>42</w:t>
          </w:r>
        </w:p>
      </w:sdtContent>
    </w:sdt>
    <w:p w14:paraId="2A4E41C5" w14:textId="77777777" w:rsidR="00A36BA5" w:rsidRPr="008270BA" w:rsidRDefault="00A36BA5">
      <w:pPr>
        <w:rPr>
          <w:w w:val="90"/>
        </w:rPr>
        <w:sectPr w:rsidR="00A36BA5" w:rsidRPr="008270BA">
          <w:headerReference w:type="default" r:id="rId8"/>
          <w:footerReference w:type="default" r:id="rId9"/>
          <w:pgSz w:w="12240" w:h="15840"/>
          <w:pgMar w:top="1240" w:right="980" w:bottom="1100" w:left="1060" w:header="731" w:footer="917" w:gutter="0"/>
          <w:pgNumType w:start="1"/>
          <w:cols w:space="720"/>
        </w:sectPr>
      </w:pPr>
    </w:p>
    <w:p w14:paraId="173DEC26" w14:textId="77777777" w:rsidR="00A36BA5" w:rsidRPr="008270BA" w:rsidRDefault="00A36BA5">
      <w:pPr>
        <w:pStyle w:val="BodyText"/>
        <w:spacing w:before="3"/>
        <w:rPr>
          <w:w w:val="90"/>
          <w:sz w:val="34"/>
        </w:rPr>
      </w:pPr>
    </w:p>
    <w:p w14:paraId="3D992F84" w14:textId="77777777" w:rsidR="00A36BA5" w:rsidRPr="008270BA" w:rsidRDefault="008270BA">
      <w:pPr>
        <w:pStyle w:val="BodyText"/>
        <w:spacing w:line="261" w:lineRule="auto"/>
        <w:ind w:left="120" w:right="212"/>
        <w:rPr>
          <w:w w:val="90"/>
        </w:rPr>
      </w:pPr>
      <w:r w:rsidRPr="008270BA">
        <w:rPr>
          <w:w w:val="90"/>
        </w:rPr>
        <w:t>El plan que está por leer es radical. No es sobre una cura para el VIH. No usa un lenguaje dramático y metafórico. No hay una lucha o guerra que ganar o perder.</w:t>
      </w:r>
    </w:p>
    <w:p w14:paraId="38C0C042" w14:textId="77777777" w:rsidR="00A36BA5" w:rsidRPr="008270BA" w:rsidRDefault="00A36BA5">
      <w:pPr>
        <w:pStyle w:val="BodyText"/>
        <w:spacing w:before="2"/>
        <w:rPr>
          <w:w w:val="90"/>
        </w:rPr>
      </w:pPr>
    </w:p>
    <w:p w14:paraId="559C6DA1" w14:textId="243821F1" w:rsidR="00A36BA5" w:rsidRPr="008270BA" w:rsidRDefault="008270BA">
      <w:pPr>
        <w:pStyle w:val="BodyText"/>
        <w:spacing w:line="261" w:lineRule="auto"/>
        <w:ind w:left="120"/>
        <w:rPr>
          <w:w w:val="90"/>
        </w:rPr>
      </w:pPr>
      <w:r w:rsidRPr="008270BA">
        <w:rPr>
          <w:w w:val="90"/>
        </w:rPr>
        <w:t xml:space="preserve">En lugar de ello, hay ciencia de salud pública que se usa de un modo estratégico para lograr una meta específica y mensurable: reducir las nuevas infecciones con VIH en un 75 </w:t>
      </w:r>
      <w:r w:rsidR="00901650" w:rsidRPr="008270BA">
        <w:rPr>
          <w:w w:val="90"/>
        </w:rPr>
        <w:t>por ciento</w:t>
      </w:r>
      <w:r w:rsidRPr="008270BA">
        <w:rPr>
          <w:w w:val="90"/>
        </w:rPr>
        <w:t xml:space="preserve"> en cinco años.</w:t>
      </w:r>
    </w:p>
    <w:p w14:paraId="6D26A888" w14:textId="77777777" w:rsidR="00A36BA5" w:rsidRPr="008270BA" w:rsidRDefault="00A36BA5">
      <w:pPr>
        <w:pStyle w:val="BodyText"/>
        <w:spacing w:before="3"/>
        <w:rPr>
          <w:w w:val="90"/>
        </w:rPr>
      </w:pPr>
    </w:p>
    <w:p w14:paraId="7F1C4A96" w14:textId="77777777" w:rsidR="00A36BA5" w:rsidRPr="008270BA" w:rsidRDefault="008270BA">
      <w:pPr>
        <w:pStyle w:val="BodyText"/>
        <w:ind w:left="120"/>
        <w:rPr>
          <w:w w:val="90"/>
        </w:rPr>
      </w:pPr>
      <w:r w:rsidRPr="008270BA">
        <w:rPr>
          <w:w w:val="90"/>
        </w:rPr>
        <w:t>Esto se puede lograr con las herramientas disponibles en la actualidad.</w:t>
      </w:r>
    </w:p>
    <w:p w14:paraId="7B664CF5" w14:textId="77777777" w:rsidR="00A36BA5" w:rsidRPr="008270BA" w:rsidRDefault="00A36BA5">
      <w:pPr>
        <w:pStyle w:val="BodyText"/>
        <w:spacing w:before="5"/>
        <w:rPr>
          <w:w w:val="90"/>
          <w:sz w:val="26"/>
        </w:rPr>
      </w:pPr>
    </w:p>
    <w:p w14:paraId="1EA34592" w14:textId="77777777" w:rsidR="00A36BA5" w:rsidRPr="008270BA" w:rsidRDefault="008270BA">
      <w:pPr>
        <w:pStyle w:val="BodyText"/>
        <w:spacing w:line="261" w:lineRule="auto"/>
        <w:ind w:left="120"/>
        <w:rPr>
          <w:w w:val="90"/>
        </w:rPr>
      </w:pPr>
      <w:r w:rsidRPr="008270BA">
        <w:rPr>
          <w:w w:val="90"/>
        </w:rPr>
        <w:t>Ya hemos logrado muchísimo gracias a los avances en atención médica, y una de las comunidades que más participan del país. Los desafíos que años ha parecían insuperables hoy sirven como ejemplo de lo que podemos hacer, lo que incluye:</w:t>
      </w:r>
    </w:p>
    <w:p w14:paraId="78B0C189" w14:textId="77777777" w:rsidR="00A36BA5" w:rsidRPr="008270BA" w:rsidRDefault="00A36BA5">
      <w:pPr>
        <w:pStyle w:val="BodyText"/>
        <w:spacing w:before="1"/>
        <w:rPr>
          <w:w w:val="90"/>
        </w:rPr>
      </w:pPr>
    </w:p>
    <w:p w14:paraId="2FFD9A42" w14:textId="77777777" w:rsidR="00A36BA5" w:rsidRPr="008270BA" w:rsidRDefault="008270BA">
      <w:pPr>
        <w:pStyle w:val="ListParagraph"/>
        <w:numPr>
          <w:ilvl w:val="0"/>
          <w:numId w:val="8"/>
        </w:numPr>
        <w:tabs>
          <w:tab w:val="left" w:pos="628"/>
        </w:tabs>
        <w:spacing w:before="1" w:line="252" w:lineRule="auto"/>
        <w:ind w:right="198" w:hanging="360"/>
        <w:rPr>
          <w:w w:val="90"/>
          <w:sz w:val="24"/>
        </w:rPr>
      </w:pPr>
      <w:r w:rsidRPr="008270BA">
        <w:rPr>
          <w:w w:val="90"/>
          <w:sz w:val="24"/>
        </w:rPr>
        <w:t>Implementar uno de los programas de intercambio de jeringas más exitosos y revolucionarios del país.</w:t>
      </w:r>
    </w:p>
    <w:p w14:paraId="2F13A8A0" w14:textId="77777777" w:rsidR="00A36BA5" w:rsidRPr="008270BA" w:rsidRDefault="008270BA">
      <w:pPr>
        <w:pStyle w:val="ListParagraph"/>
        <w:numPr>
          <w:ilvl w:val="0"/>
          <w:numId w:val="8"/>
        </w:numPr>
        <w:tabs>
          <w:tab w:val="left" w:pos="628"/>
        </w:tabs>
        <w:spacing w:line="252" w:lineRule="auto"/>
        <w:ind w:right="430" w:hanging="360"/>
        <w:rPr>
          <w:w w:val="90"/>
          <w:sz w:val="24"/>
        </w:rPr>
      </w:pPr>
      <w:r w:rsidRPr="008270BA">
        <w:rPr>
          <w:w w:val="90"/>
          <w:sz w:val="24"/>
        </w:rPr>
        <w:t>Mejorar el acceso a tratamientos que actualmente prolongan vidas y previenen nuevas infecciones con VIH, lo que lleva a una enorme reducción en las muertes relacionadas con el VIH.</w:t>
      </w:r>
    </w:p>
    <w:p w14:paraId="2038C304" w14:textId="77777777" w:rsidR="00A36BA5" w:rsidRPr="008270BA" w:rsidRDefault="008270BA">
      <w:pPr>
        <w:pStyle w:val="ListParagraph"/>
        <w:numPr>
          <w:ilvl w:val="0"/>
          <w:numId w:val="8"/>
        </w:numPr>
        <w:tabs>
          <w:tab w:val="left" w:pos="628"/>
        </w:tabs>
        <w:spacing w:before="7" w:line="235" w:lineRule="auto"/>
        <w:ind w:right="405" w:hanging="360"/>
        <w:rPr>
          <w:w w:val="90"/>
          <w:sz w:val="24"/>
        </w:rPr>
      </w:pPr>
      <w:r w:rsidRPr="008270BA">
        <w:rPr>
          <w:w w:val="90"/>
          <w:sz w:val="24"/>
        </w:rPr>
        <w:t>Tomar medidas para garantizar el acceso a PrEP, lo que incluye, entre otros, la pastilla diaria que previene el VIH, para aquellas personas que la quieren y necesitan.</w:t>
      </w:r>
    </w:p>
    <w:p w14:paraId="3C9E2F78" w14:textId="77777777" w:rsidR="00A36BA5" w:rsidRPr="008270BA" w:rsidRDefault="008270BA">
      <w:pPr>
        <w:pStyle w:val="ListParagraph"/>
        <w:numPr>
          <w:ilvl w:val="0"/>
          <w:numId w:val="8"/>
        </w:numPr>
        <w:tabs>
          <w:tab w:val="left" w:pos="628"/>
        </w:tabs>
        <w:spacing w:before="26" w:line="252" w:lineRule="auto"/>
        <w:ind w:right="840" w:hanging="360"/>
        <w:rPr>
          <w:w w:val="90"/>
          <w:sz w:val="24"/>
        </w:rPr>
      </w:pPr>
      <w:r w:rsidRPr="008270BA">
        <w:rPr>
          <w:w w:val="90"/>
          <w:sz w:val="24"/>
        </w:rPr>
        <w:t>Desarrollar un ecosistema impulsado por la comunidad de organizaciones, cada una de las cuales sirve y aboga por personas que viven con VIH.</w:t>
      </w:r>
    </w:p>
    <w:p w14:paraId="1B8FDF38" w14:textId="77777777" w:rsidR="00A36BA5" w:rsidRPr="008270BA" w:rsidRDefault="00A36BA5">
      <w:pPr>
        <w:pStyle w:val="BodyText"/>
        <w:spacing w:before="4"/>
        <w:rPr>
          <w:w w:val="90"/>
          <w:sz w:val="25"/>
        </w:rPr>
      </w:pPr>
    </w:p>
    <w:p w14:paraId="79732BE6" w14:textId="77777777" w:rsidR="00A36BA5" w:rsidRPr="008270BA" w:rsidRDefault="008270BA">
      <w:pPr>
        <w:pStyle w:val="BodyText"/>
        <w:spacing w:line="261" w:lineRule="auto"/>
        <w:ind w:left="120" w:right="344"/>
        <w:rPr>
          <w:w w:val="90"/>
        </w:rPr>
      </w:pPr>
      <w:r w:rsidRPr="008270BA">
        <w:rPr>
          <w:w w:val="90"/>
        </w:rPr>
        <w:t>En la actualidad, el Departamento de Salud Pública de Filadelfia (</w:t>
      </w:r>
      <w:proofErr w:type="spellStart"/>
      <w:r w:rsidRPr="008270BA">
        <w:rPr>
          <w:w w:val="90"/>
        </w:rPr>
        <w:t>Philadelphia</w:t>
      </w:r>
      <w:proofErr w:type="spellEnd"/>
      <w:r w:rsidRPr="008270BA">
        <w:rPr>
          <w:w w:val="90"/>
        </w:rPr>
        <w:t xml:space="preserve"> </w:t>
      </w:r>
      <w:proofErr w:type="spellStart"/>
      <w:r w:rsidRPr="008270BA">
        <w:rPr>
          <w:w w:val="90"/>
        </w:rPr>
        <w:t>Department</w:t>
      </w:r>
      <w:proofErr w:type="spellEnd"/>
      <w:r w:rsidRPr="008270BA">
        <w:rPr>
          <w:w w:val="90"/>
        </w:rPr>
        <w:t xml:space="preserve"> </w:t>
      </w:r>
      <w:proofErr w:type="spellStart"/>
      <w:r w:rsidRPr="008270BA">
        <w:rPr>
          <w:w w:val="90"/>
        </w:rPr>
        <w:t>of</w:t>
      </w:r>
      <w:proofErr w:type="spellEnd"/>
      <w:r w:rsidRPr="008270BA">
        <w:rPr>
          <w:w w:val="90"/>
        </w:rPr>
        <w:t xml:space="preserve"> </w:t>
      </w:r>
      <w:proofErr w:type="spellStart"/>
      <w:r w:rsidRPr="008270BA">
        <w:rPr>
          <w:w w:val="90"/>
        </w:rPr>
        <w:t>Public</w:t>
      </w:r>
      <w:proofErr w:type="spellEnd"/>
      <w:r w:rsidRPr="008270BA">
        <w:rPr>
          <w:w w:val="90"/>
        </w:rPr>
        <w:t xml:space="preserve"> </w:t>
      </w:r>
      <w:proofErr w:type="spellStart"/>
      <w:r w:rsidRPr="008270BA">
        <w:rPr>
          <w:w w:val="90"/>
        </w:rPr>
        <w:t>Health</w:t>
      </w:r>
      <w:proofErr w:type="spellEnd"/>
      <w:r w:rsidRPr="008270BA">
        <w:rPr>
          <w:w w:val="90"/>
        </w:rPr>
        <w:t>, PDPH) se asocia con muchas de estas organizaciones. Juntos, prestan servicios a más de 30,000 personas que viven con VIH, o que están en riesgo de contraerlo, cada año.</w:t>
      </w:r>
    </w:p>
    <w:p w14:paraId="52681E79" w14:textId="77777777" w:rsidR="00A36BA5" w:rsidRPr="008270BA" w:rsidRDefault="00A36BA5">
      <w:pPr>
        <w:pStyle w:val="BodyText"/>
        <w:spacing w:before="2"/>
        <w:rPr>
          <w:w w:val="90"/>
        </w:rPr>
      </w:pPr>
    </w:p>
    <w:p w14:paraId="7F65F4F9" w14:textId="3D5AF064" w:rsidR="00A36BA5" w:rsidRPr="008270BA" w:rsidRDefault="00901650">
      <w:pPr>
        <w:pStyle w:val="BodyText"/>
        <w:spacing w:line="261" w:lineRule="auto"/>
        <w:ind w:left="120"/>
        <w:rPr>
          <w:w w:val="90"/>
        </w:rPr>
      </w:pPr>
      <w:r w:rsidRPr="008270BA">
        <w:rPr>
          <w:w w:val="90"/>
        </w:rPr>
        <w:t>Aun</w:t>
      </w:r>
      <w:r w:rsidR="008270BA" w:rsidRPr="008270BA">
        <w:rPr>
          <w:w w:val="90"/>
        </w:rPr>
        <w:t xml:space="preserve"> así, detrás de estos y otros números hay vidas humanas e historias reales, incluidas las vidas de las 439 personas que recibieron un diagnóstico de VIH positivo el año pasado. Este número es casi idéntico a los años anteriores.</w:t>
      </w:r>
    </w:p>
    <w:p w14:paraId="0573FFAD" w14:textId="77777777" w:rsidR="00A36BA5" w:rsidRPr="008270BA" w:rsidRDefault="00A36BA5">
      <w:pPr>
        <w:pStyle w:val="BodyText"/>
        <w:spacing w:before="2"/>
        <w:rPr>
          <w:w w:val="90"/>
        </w:rPr>
      </w:pPr>
    </w:p>
    <w:p w14:paraId="4E245634" w14:textId="77777777" w:rsidR="00A36BA5" w:rsidRPr="008270BA" w:rsidRDefault="008270BA">
      <w:pPr>
        <w:pStyle w:val="BodyText"/>
        <w:spacing w:before="1"/>
        <w:ind w:left="120"/>
        <w:rPr>
          <w:w w:val="90"/>
        </w:rPr>
      </w:pPr>
      <w:r w:rsidRPr="008270BA">
        <w:rPr>
          <w:w w:val="90"/>
        </w:rPr>
        <w:t>No estamos progresando en esta área crítica.</w:t>
      </w:r>
    </w:p>
    <w:p w14:paraId="630BF83B" w14:textId="77777777" w:rsidR="00A36BA5" w:rsidRPr="008270BA" w:rsidRDefault="00A36BA5">
      <w:pPr>
        <w:pStyle w:val="BodyText"/>
        <w:spacing w:before="4"/>
        <w:rPr>
          <w:w w:val="90"/>
          <w:sz w:val="26"/>
        </w:rPr>
      </w:pPr>
    </w:p>
    <w:p w14:paraId="5D3EEC7D" w14:textId="77777777" w:rsidR="008270BA" w:rsidRPr="008270BA" w:rsidRDefault="008270BA" w:rsidP="008270BA">
      <w:pPr>
        <w:pStyle w:val="BodyText"/>
        <w:spacing w:before="1" w:line="252" w:lineRule="auto"/>
        <w:ind w:left="120" w:right="344"/>
        <w:rPr>
          <w:w w:val="90"/>
        </w:rPr>
      </w:pPr>
      <w:r w:rsidRPr="008270BA">
        <w:rPr>
          <w:w w:val="90"/>
        </w:rPr>
        <w:t xml:space="preserve">Del mismo modo, los números en otras áreas clave, a saber, la cantidad de personas que viven con VIH que se mantienen conectados con la atención que necesitan y los que lograron la supresión viral, comúnmente conocidos como indetectables, se están quedando atrás con respecto a donde deberían estar. A menos que reduzcamos drásticamente estas nuevas infecciones, la epidemia de VIH de Filadelfia continuará. </w:t>
      </w:r>
    </w:p>
    <w:p w14:paraId="52035751" w14:textId="77777777" w:rsidR="008270BA" w:rsidRPr="008270BA" w:rsidRDefault="008270BA" w:rsidP="008270BA">
      <w:pPr>
        <w:pStyle w:val="BodyText"/>
        <w:spacing w:before="1" w:line="252" w:lineRule="auto"/>
        <w:ind w:left="120" w:right="344"/>
        <w:rPr>
          <w:w w:val="90"/>
        </w:rPr>
      </w:pPr>
    </w:p>
    <w:p w14:paraId="6539AB72" w14:textId="77777777" w:rsidR="00A36BA5" w:rsidRPr="008270BA" w:rsidRDefault="008270BA" w:rsidP="008270BA">
      <w:pPr>
        <w:pStyle w:val="BodyText"/>
        <w:spacing w:before="1" w:line="252" w:lineRule="auto"/>
        <w:ind w:left="120" w:right="344"/>
        <w:rPr>
          <w:w w:val="90"/>
        </w:rPr>
      </w:pPr>
      <w:r w:rsidRPr="008270BA">
        <w:rPr>
          <w:w w:val="90"/>
        </w:rPr>
        <w:t>Es ahí donde entra en juego este plan.</w:t>
      </w:r>
    </w:p>
    <w:p w14:paraId="70731944" w14:textId="77777777" w:rsidR="008270BA" w:rsidRPr="008270BA" w:rsidRDefault="008270BA">
      <w:pPr>
        <w:pStyle w:val="BodyText"/>
        <w:spacing w:before="21" w:line="252" w:lineRule="auto"/>
        <w:ind w:left="120" w:right="128"/>
        <w:rPr>
          <w:w w:val="90"/>
        </w:rPr>
      </w:pPr>
    </w:p>
    <w:p w14:paraId="0A9D3247" w14:textId="77777777" w:rsidR="00A36BA5" w:rsidRPr="008270BA" w:rsidRDefault="008270BA" w:rsidP="008270BA">
      <w:pPr>
        <w:pStyle w:val="BodyText"/>
        <w:spacing w:before="21" w:line="252" w:lineRule="auto"/>
        <w:ind w:left="120" w:right="128"/>
        <w:rPr>
          <w:w w:val="90"/>
        </w:rPr>
      </w:pPr>
      <w:r w:rsidRPr="008270BA">
        <w:rPr>
          <w:w w:val="90"/>
        </w:rPr>
        <w:t xml:space="preserve">La comunidad, comprendida por sobrevivientes de larga data, personas que presenciaron la crisis en su punto álgido, personas que recibieron un diagnóstico de VIH recientemente, organizaciones de servicios de VIH, activistas, personas heterosexuales, personas de la comunidad LGBTQ, personas de color, y otras personas, se unió para ayudarnos a elaborar este plan. Realizamos eventos de foro </w:t>
      </w:r>
      <w:r w:rsidRPr="008270BA">
        <w:rPr>
          <w:w w:val="90"/>
        </w:rPr>
        <w:lastRenderedPageBreak/>
        <w:t>abierto, donde</w:t>
      </w:r>
      <w:r>
        <w:rPr>
          <w:w w:val="90"/>
        </w:rPr>
        <w:t xml:space="preserve"> </w:t>
      </w:r>
      <w:r w:rsidRPr="008270BA">
        <w:rPr>
          <w:w w:val="90"/>
        </w:rPr>
        <w:t>muchas personas participaron de manera virtual desde aplicaciones y con cámaras web cuando el COVID-19 definió nuestra era; otros participaron mediante entrevistas telefónicas; y algunos brindaron sus comentarios por correo electrónico.</w:t>
      </w:r>
    </w:p>
    <w:p w14:paraId="4B9E88E9" w14:textId="77777777" w:rsidR="00A36BA5" w:rsidRPr="008270BA" w:rsidRDefault="00A36BA5">
      <w:pPr>
        <w:pStyle w:val="BodyText"/>
        <w:rPr>
          <w:w w:val="90"/>
          <w:sz w:val="28"/>
        </w:rPr>
      </w:pPr>
    </w:p>
    <w:p w14:paraId="1BF7388D" w14:textId="77777777" w:rsidR="00A36BA5" w:rsidRPr="008270BA" w:rsidRDefault="008270BA" w:rsidP="008270BA">
      <w:pPr>
        <w:pStyle w:val="BodyText"/>
        <w:spacing w:line="242" w:lineRule="auto"/>
        <w:ind w:left="120"/>
        <w:rPr>
          <w:w w:val="90"/>
        </w:rPr>
      </w:pPr>
      <w:r w:rsidRPr="008270BA">
        <w:rPr>
          <w:w w:val="90"/>
        </w:rPr>
        <w:t>En total, el Departamento de Salud Pública habló con más de 8,000 personas que viven con VIH o a quienes se les diagnosticó VIH recientemente a nivel local. También comisionamos informes comunitarios que pedían que analizaran</w:t>
      </w:r>
      <w:r>
        <w:rPr>
          <w:w w:val="90"/>
        </w:rPr>
        <w:t xml:space="preserve"> </w:t>
      </w:r>
      <w:r w:rsidRPr="008270BA">
        <w:rPr>
          <w:w w:val="90"/>
        </w:rPr>
        <w:t>el plan y brindaran recomendaciones. Hemos tenido muchos eventos que solicitaban comentarios y opiniones. Y hemos publicado regularmente nuevos borradores que responden a estos comentarios y opiniones a medida que nos van llegando.</w:t>
      </w:r>
    </w:p>
    <w:p w14:paraId="76412DE5" w14:textId="77777777" w:rsidR="00A36BA5" w:rsidRPr="008270BA" w:rsidRDefault="00A36BA5">
      <w:pPr>
        <w:pStyle w:val="BodyText"/>
        <w:rPr>
          <w:w w:val="90"/>
          <w:sz w:val="28"/>
        </w:rPr>
      </w:pPr>
    </w:p>
    <w:p w14:paraId="3D8A9EA1" w14:textId="77777777" w:rsidR="00A36BA5" w:rsidRPr="008270BA" w:rsidRDefault="008270BA">
      <w:pPr>
        <w:pStyle w:val="BodyText"/>
        <w:spacing w:before="1" w:line="252" w:lineRule="auto"/>
        <w:ind w:left="120" w:right="212"/>
        <w:rPr>
          <w:w w:val="90"/>
        </w:rPr>
      </w:pPr>
      <w:r w:rsidRPr="008270BA">
        <w:rPr>
          <w:w w:val="90"/>
        </w:rPr>
        <w:t>Es mediante estos proyectos que hemos acumulado una enorme cantidad de datos con respecto a las necesidades, los factores de éxito y las brechas para personas que viven con VIH y sobre las comunidades en las que debemos enfocarnos para la programación de VIH. Estos conocimientos son los que impulsan este plan.</w:t>
      </w:r>
    </w:p>
    <w:p w14:paraId="09F46AD2" w14:textId="77777777" w:rsidR="00A36BA5" w:rsidRPr="008270BA" w:rsidRDefault="00A36BA5">
      <w:pPr>
        <w:pStyle w:val="BodyText"/>
        <w:spacing w:before="3"/>
        <w:rPr>
          <w:w w:val="90"/>
          <w:sz w:val="25"/>
        </w:rPr>
      </w:pPr>
    </w:p>
    <w:p w14:paraId="00B2B616" w14:textId="77777777" w:rsidR="00A36BA5" w:rsidRPr="008270BA" w:rsidRDefault="008270BA">
      <w:pPr>
        <w:pStyle w:val="BodyText"/>
        <w:spacing w:line="261" w:lineRule="auto"/>
        <w:ind w:left="120"/>
        <w:rPr>
          <w:w w:val="90"/>
        </w:rPr>
      </w:pPr>
      <w:r w:rsidRPr="008270BA">
        <w:rPr>
          <w:w w:val="90"/>
        </w:rPr>
        <w:t>En general, el plan tiene en mente dos grupos de personas, aquellas que viven con VIH y aquellas que corren riesgo de contraer VIH, quienes reciben servicios en cuatro pilares primarios. Estos pilares son:</w:t>
      </w:r>
    </w:p>
    <w:p w14:paraId="63001B85" w14:textId="77777777" w:rsidR="00A36BA5" w:rsidRPr="008270BA" w:rsidRDefault="00A36BA5">
      <w:pPr>
        <w:pStyle w:val="BodyText"/>
        <w:spacing w:before="2"/>
        <w:rPr>
          <w:w w:val="90"/>
        </w:rPr>
      </w:pPr>
    </w:p>
    <w:p w14:paraId="162C99A2" w14:textId="77777777" w:rsidR="00A36BA5" w:rsidRPr="008270BA" w:rsidRDefault="008270BA">
      <w:pPr>
        <w:pStyle w:val="ListParagraph"/>
        <w:numPr>
          <w:ilvl w:val="0"/>
          <w:numId w:val="8"/>
        </w:numPr>
        <w:tabs>
          <w:tab w:val="left" w:pos="628"/>
        </w:tabs>
        <w:ind w:left="627"/>
        <w:rPr>
          <w:w w:val="90"/>
          <w:sz w:val="24"/>
        </w:rPr>
      </w:pPr>
      <w:r w:rsidRPr="008270BA">
        <w:rPr>
          <w:b/>
          <w:w w:val="90"/>
          <w:sz w:val="24"/>
        </w:rPr>
        <w:t xml:space="preserve">Diagnosticar </w:t>
      </w:r>
      <w:r w:rsidRPr="008270BA">
        <w:rPr>
          <w:w w:val="90"/>
          <w:sz w:val="24"/>
        </w:rPr>
        <w:t>a todos los ciudadanos de Filadelfia con VIH lo antes posible.</w:t>
      </w:r>
    </w:p>
    <w:p w14:paraId="480E9266" w14:textId="77777777" w:rsidR="00A36BA5" w:rsidRPr="008270BA" w:rsidRDefault="008270BA">
      <w:pPr>
        <w:pStyle w:val="ListParagraph"/>
        <w:numPr>
          <w:ilvl w:val="0"/>
          <w:numId w:val="8"/>
        </w:numPr>
        <w:tabs>
          <w:tab w:val="left" w:pos="628"/>
        </w:tabs>
        <w:spacing w:before="15" w:line="282" w:lineRule="exact"/>
        <w:ind w:left="627"/>
        <w:rPr>
          <w:w w:val="90"/>
          <w:sz w:val="24"/>
        </w:rPr>
      </w:pPr>
      <w:r w:rsidRPr="008270BA">
        <w:rPr>
          <w:b/>
          <w:w w:val="90"/>
          <w:sz w:val="24"/>
        </w:rPr>
        <w:t xml:space="preserve">Tratar </w:t>
      </w:r>
      <w:r w:rsidRPr="008270BA">
        <w:rPr>
          <w:w w:val="90"/>
          <w:sz w:val="24"/>
        </w:rPr>
        <w:t>a las personas que viven con VIH rápida y efectivamente.</w:t>
      </w:r>
    </w:p>
    <w:p w14:paraId="721335E2" w14:textId="77777777" w:rsidR="00A36BA5" w:rsidRPr="008270BA" w:rsidRDefault="008270BA">
      <w:pPr>
        <w:pStyle w:val="ListParagraph"/>
        <w:numPr>
          <w:ilvl w:val="0"/>
          <w:numId w:val="8"/>
        </w:numPr>
        <w:tabs>
          <w:tab w:val="left" w:pos="628"/>
        </w:tabs>
        <w:spacing w:line="282" w:lineRule="exact"/>
        <w:ind w:left="627"/>
        <w:rPr>
          <w:w w:val="90"/>
          <w:sz w:val="24"/>
        </w:rPr>
      </w:pPr>
      <w:r w:rsidRPr="008270BA">
        <w:rPr>
          <w:b/>
          <w:w w:val="90"/>
          <w:sz w:val="24"/>
        </w:rPr>
        <w:t xml:space="preserve">Prevenir </w:t>
      </w:r>
      <w:r w:rsidRPr="008270BA">
        <w:rPr>
          <w:w w:val="90"/>
          <w:sz w:val="24"/>
        </w:rPr>
        <w:t xml:space="preserve">las nuevas transmisiones promoviendo la PrEP, </w:t>
      </w:r>
      <w:proofErr w:type="spellStart"/>
      <w:r w:rsidRPr="008270BA">
        <w:rPr>
          <w:w w:val="90"/>
          <w:sz w:val="24"/>
        </w:rPr>
        <w:t>nPEP</w:t>
      </w:r>
      <w:proofErr w:type="spellEnd"/>
      <w:r w:rsidRPr="008270BA">
        <w:rPr>
          <w:w w:val="90"/>
          <w:sz w:val="24"/>
        </w:rPr>
        <w:t xml:space="preserve"> y servicios de jeringas.</w:t>
      </w:r>
    </w:p>
    <w:p w14:paraId="66070F58" w14:textId="77777777" w:rsidR="00A36BA5" w:rsidRPr="008270BA" w:rsidRDefault="008270BA">
      <w:pPr>
        <w:pStyle w:val="ListParagraph"/>
        <w:numPr>
          <w:ilvl w:val="0"/>
          <w:numId w:val="8"/>
        </w:numPr>
        <w:tabs>
          <w:tab w:val="left" w:pos="628"/>
        </w:tabs>
        <w:spacing w:before="15"/>
        <w:ind w:left="627"/>
        <w:rPr>
          <w:w w:val="90"/>
          <w:sz w:val="24"/>
        </w:rPr>
      </w:pPr>
      <w:r w:rsidRPr="008270BA">
        <w:rPr>
          <w:b/>
          <w:w w:val="90"/>
          <w:sz w:val="24"/>
        </w:rPr>
        <w:t xml:space="preserve">Responder </w:t>
      </w:r>
      <w:r w:rsidRPr="008270BA">
        <w:rPr>
          <w:w w:val="90"/>
          <w:sz w:val="24"/>
        </w:rPr>
        <w:t>rápidamente a los brotes de VIH.</w:t>
      </w:r>
    </w:p>
    <w:p w14:paraId="37E480B4" w14:textId="77777777" w:rsidR="00A36BA5" w:rsidRPr="008270BA" w:rsidRDefault="00A36BA5">
      <w:pPr>
        <w:pStyle w:val="BodyText"/>
        <w:spacing w:before="8"/>
        <w:rPr>
          <w:w w:val="90"/>
          <w:sz w:val="25"/>
        </w:rPr>
      </w:pPr>
    </w:p>
    <w:p w14:paraId="542A5C25" w14:textId="77777777" w:rsidR="00A36BA5" w:rsidRPr="008270BA" w:rsidRDefault="008270BA">
      <w:pPr>
        <w:pStyle w:val="BodyText"/>
        <w:spacing w:line="256" w:lineRule="auto"/>
        <w:ind w:left="120" w:right="255"/>
        <w:rPr>
          <w:w w:val="90"/>
        </w:rPr>
      </w:pPr>
      <w:r w:rsidRPr="008270BA">
        <w:rPr>
          <w:w w:val="90"/>
        </w:rPr>
        <w:t>Entonces, ¿cómo ponemos fin a la epidemia de VIH? En 2019, 439 ciudadanos de Filadelfia obtuvieron un resultado VIH positivo. Si este plan tiene éxito, entonces para 2025 este número sería más bien 110, para un total de aproximadamente 1,325 nuevos diagnósticos de VIH a lo largo de cinco años. Junto con estas nuevas infecciones, estimamos que poco más de 2,000 ciudadanos de Filadelfia que viven con VIH no saben que tienen VIH. Si tenemos éxito, este plan se asegurará de que más de 1,950 de ellos sepan sobre su estado para 2025.</w:t>
      </w:r>
    </w:p>
    <w:p w14:paraId="781DE0B6" w14:textId="77777777" w:rsidR="00A36BA5" w:rsidRPr="008270BA" w:rsidRDefault="00A36BA5">
      <w:pPr>
        <w:pStyle w:val="BodyText"/>
        <w:spacing w:before="7"/>
        <w:rPr>
          <w:w w:val="90"/>
        </w:rPr>
      </w:pPr>
    </w:p>
    <w:p w14:paraId="2D42AE30" w14:textId="77777777" w:rsidR="00A36BA5" w:rsidRPr="008270BA" w:rsidRDefault="008270BA">
      <w:pPr>
        <w:pStyle w:val="BodyText"/>
        <w:spacing w:before="1"/>
        <w:ind w:left="120"/>
        <w:rPr>
          <w:w w:val="90"/>
        </w:rPr>
      </w:pPr>
      <w:r w:rsidRPr="008270BA">
        <w:rPr>
          <w:w w:val="90"/>
        </w:rPr>
        <w:t>Dicho esto, no se trata únicamente de diagnosticar. En este momento, tan solo aproximadamente la mitad de las personas que viven con VIH en</w:t>
      </w:r>
    </w:p>
    <w:p w14:paraId="72213BE1" w14:textId="77777777" w:rsidR="00A36BA5" w:rsidRPr="008270BA" w:rsidRDefault="008270BA">
      <w:pPr>
        <w:pStyle w:val="BodyText"/>
        <w:spacing w:before="24" w:line="261" w:lineRule="auto"/>
        <w:ind w:left="120"/>
        <w:rPr>
          <w:w w:val="90"/>
        </w:rPr>
      </w:pPr>
      <w:r w:rsidRPr="008270BA">
        <w:rPr>
          <w:w w:val="90"/>
        </w:rPr>
        <w:t>nuestra área, que en total suman 10,961 personas, llegan a la supresión viral, que comúnmente se denomina ser indetectable. Para 2025, si logramos alcanzar nuestras metas, este número habrá aumentado a 15,554 personas.</w:t>
      </w:r>
    </w:p>
    <w:p w14:paraId="00031BC8" w14:textId="77777777" w:rsidR="00A36BA5" w:rsidRPr="008270BA" w:rsidRDefault="00A36BA5">
      <w:pPr>
        <w:pStyle w:val="BodyText"/>
        <w:spacing w:before="2"/>
        <w:rPr>
          <w:w w:val="90"/>
        </w:rPr>
      </w:pPr>
    </w:p>
    <w:p w14:paraId="124D70A5" w14:textId="77777777" w:rsidR="00A36BA5" w:rsidRPr="008270BA" w:rsidRDefault="008270BA">
      <w:pPr>
        <w:pStyle w:val="BodyText"/>
        <w:ind w:left="120"/>
        <w:rPr>
          <w:w w:val="90"/>
        </w:rPr>
      </w:pPr>
      <w:r w:rsidRPr="008270BA">
        <w:rPr>
          <w:w w:val="90"/>
        </w:rPr>
        <w:t>Esta es una oportunidad que se da una sola vez cada generación.</w:t>
      </w:r>
    </w:p>
    <w:p w14:paraId="3FE72B21" w14:textId="77777777" w:rsidR="00A36BA5" w:rsidRPr="008270BA" w:rsidRDefault="00A36BA5">
      <w:pPr>
        <w:pStyle w:val="BodyText"/>
        <w:spacing w:before="5"/>
        <w:rPr>
          <w:w w:val="90"/>
          <w:sz w:val="26"/>
        </w:rPr>
      </w:pPr>
    </w:p>
    <w:p w14:paraId="226E79B4" w14:textId="77777777" w:rsidR="00A36BA5" w:rsidRPr="008270BA" w:rsidRDefault="008270BA">
      <w:pPr>
        <w:pStyle w:val="BodyText"/>
        <w:spacing w:line="254" w:lineRule="auto"/>
        <w:ind w:left="120" w:right="344"/>
        <w:rPr>
          <w:w w:val="90"/>
        </w:rPr>
      </w:pPr>
      <w:r w:rsidRPr="008270BA">
        <w:rPr>
          <w:w w:val="90"/>
        </w:rPr>
        <w:t>En este momento, usando las herramientas que ya tenemos, podemos poner fin a la epidemia. Pero solamente podemos hacerlo cambiando radicalmente lo que hemos estado haciendo, y brindando el apoyo necesario a las comunidades y organizaciones para realizar estos cambios. Esto solo se puede lograr del mismo modo que desarrollamos este plan.</w:t>
      </w:r>
    </w:p>
    <w:p w14:paraId="033FAEFC" w14:textId="77777777" w:rsidR="00A36BA5" w:rsidRPr="008270BA" w:rsidRDefault="00A36BA5">
      <w:pPr>
        <w:pStyle w:val="BodyText"/>
        <w:spacing w:before="2"/>
        <w:rPr>
          <w:w w:val="90"/>
          <w:sz w:val="25"/>
        </w:rPr>
      </w:pPr>
    </w:p>
    <w:p w14:paraId="3D289CB0" w14:textId="77777777" w:rsidR="00A36BA5" w:rsidRPr="008270BA" w:rsidRDefault="008270BA">
      <w:pPr>
        <w:spacing w:line="242" w:lineRule="auto"/>
        <w:ind w:left="120"/>
        <w:rPr>
          <w:w w:val="90"/>
        </w:rPr>
      </w:pPr>
      <w:r w:rsidRPr="008270BA">
        <w:rPr>
          <w:w w:val="90"/>
          <w:sz w:val="24"/>
        </w:rPr>
        <w:t xml:space="preserve">Es decir, solo podemos hacerlo juntos. </w:t>
      </w:r>
      <w:r w:rsidRPr="008270BA">
        <w:rPr>
          <w:w w:val="90"/>
        </w:rPr>
        <w:t>Para obtener información detallada sobre las características del VIH/SIDA en la región, lo invitamos a leer:</w:t>
      </w:r>
    </w:p>
    <w:p w14:paraId="5A0FED0C" w14:textId="77777777" w:rsidR="00A36BA5" w:rsidRPr="008270BA" w:rsidRDefault="008270BA">
      <w:pPr>
        <w:pStyle w:val="BodyText"/>
        <w:spacing w:before="206" w:line="242" w:lineRule="auto"/>
        <w:ind w:left="120"/>
        <w:rPr>
          <w:w w:val="90"/>
        </w:rPr>
      </w:pPr>
      <w:r w:rsidRPr="008270BA">
        <w:rPr>
          <w:w w:val="90"/>
        </w:rPr>
        <w:lastRenderedPageBreak/>
        <w:t xml:space="preserve">El Informe de Vigilancia de VIH/SIDA anual de 2018: </w:t>
      </w:r>
      <w:r w:rsidRPr="008270BA">
        <w:rPr>
          <w:w w:val="90"/>
          <w:u w:val="single"/>
        </w:rPr>
        <w:t>https://</w:t>
      </w:r>
      <w:hyperlink r:id="rId10">
        <w:r w:rsidRPr="008270BA">
          <w:rPr>
            <w:w w:val="90"/>
            <w:u w:val="single"/>
          </w:rPr>
          <w:t>www.phila.gov/media/20191101092716/HIV_10_30_2019_FINAL_web.pdf</w:t>
        </w:r>
      </w:hyperlink>
    </w:p>
    <w:p w14:paraId="3005BF6D" w14:textId="77777777" w:rsidR="00A36BA5" w:rsidRPr="008270BA" w:rsidRDefault="008270BA">
      <w:pPr>
        <w:pStyle w:val="BodyText"/>
        <w:spacing w:before="183" w:line="400" w:lineRule="auto"/>
        <w:ind w:left="120" w:right="2826"/>
        <w:rPr>
          <w:w w:val="90"/>
        </w:rPr>
      </w:pPr>
      <w:r w:rsidRPr="008270BA">
        <w:rPr>
          <w:w w:val="90"/>
        </w:rPr>
        <w:t xml:space="preserve">Para más información sobre la respuesta federal, visite: </w:t>
      </w:r>
      <w:r w:rsidRPr="008270BA">
        <w:rPr>
          <w:w w:val="90"/>
          <w:u w:val="single"/>
        </w:rPr>
        <w:t>https://</w:t>
      </w:r>
      <w:hyperlink r:id="rId11">
        <w:r w:rsidRPr="008270BA">
          <w:rPr>
            <w:w w:val="90"/>
            <w:u w:val="single"/>
          </w:rPr>
          <w:t>www.hiv.gov/federal-response/ending-the-hiv-epidemic/overview</w:t>
        </w:r>
      </w:hyperlink>
    </w:p>
    <w:p w14:paraId="678D78CF" w14:textId="77777777" w:rsidR="00A36BA5" w:rsidRPr="008270BA" w:rsidRDefault="00A36BA5">
      <w:pPr>
        <w:spacing w:line="400" w:lineRule="auto"/>
        <w:rPr>
          <w:w w:val="90"/>
        </w:rPr>
        <w:sectPr w:rsidR="00A36BA5" w:rsidRPr="008270BA">
          <w:pgSz w:w="12240" w:h="15840"/>
          <w:pgMar w:top="1240" w:right="980" w:bottom="1240" w:left="1060" w:header="731" w:footer="917" w:gutter="0"/>
          <w:cols w:space="720"/>
        </w:sectPr>
      </w:pPr>
    </w:p>
    <w:p w14:paraId="39609097" w14:textId="77777777" w:rsidR="00A36BA5" w:rsidRPr="008270BA" w:rsidRDefault="008270BA">
      <w:pPr>
        <w:pStyle w:val="Heading1"/>
        <w:rPr>
          <w:w w:val="90"/>
        </w:rPr>
      </w:pPr>
      <w:bookmarkStart w:id="0" w:name="_TOC_250024"/>
      <w:r w:rsidRPr="008270BA">
        <w:rPr>
          <w:w w:val="90"/>
        </w:rPr>
        <w:lastRenderedPageBreak/>
        <w:t xml:space="preserve">Panorama </w:t>
      </w:r>
      <w:bookmarkEnd w:id="0"/>
      <w:r w:rsidRPr="008270BA">
        <w:rPr>
          <w:w w:val="90"/>
        </w:rPr>
        <w:t>epidemiológico</w:t>
      </w:r>
    </w:p>
    <w:p w14:paraId="4897C034" w14:textId="77777777" w:rsidR="00A36BA5" w:rsidRPr="008270BA" w:rsidRDefault="008270BA">
      <w:pPr>
        <w:spacing w:before="19"/>
        <w:ind w:left="573" w:right="645"/>
        <w:jc w:val="center"/>
        <w:rPr>
          <w:w w:val="90"/>
          <w:sz w:val="28"/>
        </w:rPr>
      </w:pPr>
      <w:r w:rsidRPr="008270BA">
        <w:rPr>
          <w:w w:val="90"/>
          <w:sz w:val="30"/>
        </w:rPr>
        <w:t xml:space="preserve">Características del </w:t>
      </w:r>
      <w:r w:rsidRPr="008270BA">
        <w:rPr>
          <w:w w:val="90"/>
          <w:sz w:val="28"/>
        </w:rPr>
        <w:t>VIH en Filadelfia</w:t>
      </w:r>
    </w:p>
    <w:p w14:paraId="00B57272" w14:textId="77777777" w:rsidR="00A36BA5" w:rsidRPr="008270BA" w:rsidRDefault="008270BA">
      <w:pPr>
        <w:pStyle w:val="BodyText"/>
        <w:spacing w:before="291" w:line="261" w:lineRule="auto"/>
        <w:ind w:left="120" w:right="212"/>
        <w:rPr>
          <w:w w:val="90"/>
        </w:rPr>
      </w:pPr>
      <w:r w:rsidRPr="008270BA">
        <w:rPr>
          <w:w w:val="90"/>
        </w:rPr>
        <w:t xml:space="preserve"> Filadelfia, reducir las nuevas infecciones de VIH y mejorar los resultados de salud para personas que viven con VIH (</w:t>
      </w:r>
      <w:proofErr w:type="spellStart"/>
      <w:r w:rsidRPr="008270BA">
        <w:rPr>
          <w:w w:val="90"/>
        </w:rPr>
        <w:t>people</w:t>
      </w:r>
      <w:proofErr w:type="spellEnd"/>
      <w:r w:rsidRPr="008270BA">
        <w:rPr>
          <w:w w:val="90"/>
        </w:rPr>
        <w:t xml:space="preserve"> living </w:t>
      </w:r>
      <w:proofErr w:type="spellStart"/>
      <w:r w:rsidRPr="008270BA">
        <w:rPr>
          <w:w w:val="90"/>
        </w:rPr>
        <w:t>with</w:t>
      </w:r>
      <w:proofErr w:type="spellEnd"/>
      <w:r w:rsidRPr="008270BA">
        <w:rPr>
          <w:w w:val="90"/>
        </w:rPr>
        <w:t xml:space="preserve"> HIV, PLWH) sigue siendo un desafío. A pesar de las reducciones constantes, Filadelfia es uno de los 48 condados en</w:t>
      </w:r>
    </w:p>
    <w:p w14:paraId="4BF433F0" w14:textId="77777777" w:rsidR="00A36BA5" w:rsidRPr="008270BA" w:rsidRDefault="008270BA">
      <w:pPr>
        <w:pStyle w:val="BodyText"/>
        <w:spacing w:line="254" w:lineRule="exact"/>
        <w:ind w:left="120"/>
        <w:rPr>
          <w:w w:val="90"/>
        </w:rPr>
      </w:pPr>
      <w:r w:rsidRPr="008270BA">
        <w:rPr>
          <w:w w:val="90"/>
        </w:rPr>
        <w:t>Estados Unidos con el número más alto de nuevos diagnósticos de VIH</w:t>
      </w:r>
      <w:r w:rsidRPr="008270BA">
        <w:rPr>
          <w:w w:val="90"/>
          <w:sz w:val="16"/>
        </w:rPr>
        <w:t>1</w:t>
      </w:r>
      <w:r w:rsidRPr="008270BA">
        <w:rPr>
          <w:w w:val="90"/>
        </w:rPr>
        <w:t>. En 2018, hubo 424 nuevos diagnósticos con</w:t>
      </w:r>
    </w:p>
    <w:p w14:paraId="727964B0" w14:textId="77777777" w:rsidR="00A36BA5" w:rsidRPr="008270BA" w:rsidRDefault="008270BA">
      <w:pPr>
        <w:spacing w:before="19"/>
        <w:ind w:left="120"/>
        <w:rPr>
          <w:w w:val="90"/>
          <w:sz w:val="24"/>
        </w:rPr>
      </w:pPr>
      <w:r w:rsidRPr="008270BA">
        <w:rPr>
          <w:w w:val="90"/>
          <w:sz w:val="24"/>
        </w:rPr>
        <w:t>diferencias considerables entre subpoblaciones</w:t>
      </w:r>
      <w:r w:rsidRPr="008270BA">
        <w:rPr>
          <w:w w:val="90"/>
          <w:sz w:val="16"/>
        </w:rPr>
        <w:t xml:space="preserve">2 </w:t>
      </w:r>
      <w:r w:rsidRPr="008270BA">
        <w:rPr>
          <w:w w:val="90"/>
          <w:sz w:val="24"/>
        </w:rPr>
        <w:t>(</w:t>
      </w:r>
      <w:r w:rsidRPr="008270BA">
        <w:rPr>
          <w:i/>
          <w:w w:val="90"/>
          <w:sz w:val="24"/>
        </w:rPr>
        <w:t xml:space="preserve">Gráfico 2 </w:t>
      </w:r>
      <w:r w:rsidRPr="008270BA">
        <w:rPr>
          <w:w w:val="90"/>
          <w:sz w:val="24"/>
        </w:rPr>
        <w:t xml:space="preserve">y </w:t>
      </w:r>
      <w:r w:rsidRPr="008270BA">
        <w:rPr>
          <w:i/>
          <w:w w:val="90"/>
          <w:sz w:val="24"/>
        </w:rPr>
        <w:t>Apéndice A</w:t>
      </w:r>
      <w:r w:rsidRPr="008270BA">
        <w:rPr>
          <w:w w:val="90"/>
          <w:sz w:val="24"/>
        </w:rPr>
        <w:t>).</w:t>
      </w:r>
    </w:p>
    <w:p w14:paraId="3618ABD3" w14:textId="77777777" w:rsidR="00A36BA5" w:rsidRPr="008270BA" w:rsidRDefault="00A36BA5">
      <w:pPr>
        <w:pStyle w:val="BodyText"/>
        <w:rPr>
          <w:w w:val="90"/>
          <w:sz w:val="26"/>
        </w:rPr>
      </w:pPr>
    </w:p>
    <w:p w14:paraId="6B84891A" w14:textId="77777777" w:rsidR="00A36BA5" w:rsidRPr="008270BA" w:rsidRDefault="008270BA">
      <w:pPr>
        <w:pStyle w:val="BodyText"/>
        <w:spacing w:line="259" w:lineRule="auto"/>
        <w:ind w:left="120" w:right="342"/>
        <w:rPr>
          <w:w w:val="90"/>
        </w:rPr>
      </w:pPr>
      <w:r w:rsidRPr="008270BA">
        <w:rPr>
          <w:w w:val="90"/>
        </w:rPr>
        <w:t>Actualmente, 18,798 PLWH viven en Filadelfia</w:t>
      </w:r>
      <w:r w:rsidRPr="008270BA">
        <w:rPr>
          <w:w w:val="90"/>
          <w:sz w:val="16"/>
        </w:rPr>
        <w:t>2</w:t>
      </w:r>
      <w:r w:rsidRPr="008270BA">
        <w:rPr>
          <w:w w:val="90"/>
        </w:rPr>
        <w:t>. Este número se ha mantenido estable en los últimos años gracias a los avances en el tratamiento del VIH y una menor cantidad de muertes. En 2019, el 1.2% de los ciudadanos de Filadelfia fueron diagnosticados y estaban viviendo con VIH, con diferencias considerables entre subpoblaciones</w:t>
      </w:r>
      <w:r w:rsidRPr="008270BA">
        <w:rPr>
          <w:w w:val="90"/>
          <w:sz w:val="16"/>
        </w:rPr>
        <w:t xml:space="preserve">2 </w:t>
      </w:r>
      <w:r w:rsidRPr="008270BA">
        <w:rPr>
          <w:w w:val="90"/>
        </w:rPr>
        <w:t>(</w:t>
      </w:r>
      <w:r w:rsidRPr="008270BA">
        <w:rPr>
          <w:i/>
          <w:w w:val="90"/>
        </w:rPr>
        <w:t>Gráfico 1</w:t>
      </w:r>
      <w:r w:rsidRPr="008270BA">
        <w:rPr>
          <w:w w:val="90"/>
        </w:rPr>
        <w:t>).</w:t>
      </w:r>
    </w:p>
    <w:p w14:paraId="568CA746" w14:textId="77777777" w:rsidR="00A36BA5" w:rsidRPr="008270BA" w:rsidRDefault="008270BA">
      <w:pPr>
        <w:pStyle w:val="Heading3"/>
        <w:spacing w:before="261" w:after="10"/>
        <w:ind w:left="573" w:right="573"/>
        <w:jc w:val="center"/>
        <w:rPr>
          <w:w w:val="90"/>
        </w:rPr>
      </w:pPr>
      <w:r w:rsidRPr="008270BA">
        <w:rPr>
          <w:w w:val="90"/>
        </w:rPr>
        <w:t>Gráfico 1: Prevalencia por raza/etnia y categoría de transmisión, Filadelfia, 2019</w:t>
      </w:r>
    </w:p>
    <w:p w14:paraId="6CFA19F2" w14:textId="4B4647AD" w:rsidR="00A36BA5" w:rsidRPr="008270BA" w:rsidRDefault="009D4B53">
      <w:pPr>
        <w:pStyle w:val="BodyText"/>
        <w:ind w:left="420"/>
        <w:rPr>
          <w:w w:val="90"/>
          <w:sz w:val="20"/>
        </w:rPr>
      </w:pPr>
      <w:r>
        <w:rPr>
          <w:rFonts w:ascii="Times New Roman" w:eastAsiaTheme="minorEastAsia" w:hAnsi="Times New Roman" w:cs="Times New Roman"/>
          <w:noProof/>
        </w:rPr>
        <mc:AlternateContent>
          <mc:Choice Requires="wps">
            <w:drawing>
              <wp:anchor distT="0" distB="0" distL="114300" distR="114300" simplePos="0" relativeHeight="487595008" behindDoc="0" locked="0" layoutInCell="1" allowOverlap="1" wp14:anchorId="3B118444" wp14:editId="0B049EA1">
                <wp:simplePos x="0" y="0"/>
                <wp:positionH relativeFrom="column">
                  <wp:posOffset>5099050</wp:posOffset>
                </wp:positionH>
                <wp:positionV relativeFrom="paragraph">
                  <wp:posOffset>517525</wp:posOffset>
                </wp:positionV>
                <wp:extent cx="895350" cy="898525"/>
                <wp:effectExtent l="0" t="0" r="0" b="0"/>
                <wp:wrapNone/>
                <wp:docPr id="5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98525"/>
                        </a:xfrm>
                        <a:prstGeom prst="rect">
                          <a:avLst/>
                        </a:prstGeom>
                        <a:solidFill>
                          <a:srgbClr val="FFFFFF"/>
                        </a:solidFill>
                        <a:ln w="9525">
                          <a:solidFill>
                            <a:schemeClr val="bg1">
                              <a:lumMod val="100000"/>
                              <a:lumOff val="0"/>
                            </a:schemeClr>
                          </a:solidFill>
                          <a:miter lim="800000"/>
                          <a:headEnd/>
                          <a:tailEnd/>
                        </a:ln>
                      </wps:spPr>
                      <wps:txbx>
                        <w:txbxContent>
                          <w:p w14:paraId="18EA8C7A" w14:textId="77777777" w:rsidR="008270BA" w:rsidRPr="008270BA" w:rsidRDefault="008270BA" w:rsidP="008270BA">
                            <w:pPr>
                              <w:rPr>
                                <w:b/>
                                <w:color w:val="82CAC1"/>
                                <w:sz w:val="16"/>
                                <w:szCs w:val="16"/>
                              </w:rPr>
                            </w:pPr>
                            <w:r w:rsidRPr="008270BA">
                              <w:rPr>
                                <w:b/>
                                <w:color w:val="82CAC1"/>
                                <w:sz w:val="16"/>
                                <w:szCs w:val="16"/>
                              </w:rPr>
                              <w:t>BLANCOS</w:t>
                            </w:r>
                          </w:p>
                          <w:p w14:paraId="791BDBEA" w14:textId="77777777" w:rsidR="008270BA" w:rsidRPr="008270BA" w:rsidRDefault="008270BA" w:rsidP="008270BA">
                            <w:pPr>
                              <w:rPr>
                                <w:b/>
                                <w:color w:val="7030A0"/>
                                <w:sz w:val="16"/>
                                <w:szCs w:val="16"/>
                              </w:rPr>
                            </w:pPr>
                            <w:r w:rsidRPr="008270BA">
                              <w:rPr>
                                <w:b/>
                                <w:color w:val="7030A0"/>
                                <w:sz w:val="16"/>
                                <w:szCs w:val="16"/>
                              </w:rPr>
                              <w:t>HISPANOS</w:t>
                            </w:r>
                          </w:p>
                          <w:p w14:paraId="3CD097AB" w14:textId="77777777" w:rsidR="008270BA" w:rsidRPr="008270BA" w:rsidRDefault="008270BA" w:rsidP="008270BA">
                            <w:pPr>
                              <w:rPr>
                                <w:b/>
                                <w:color w:val="000000" w:themeColor="text1"/>
                                <w:sz w:val="16"/>
                                <w:szCs w:val="16"/>
                              </w:rPr>
                            </w:pPr>
                            <w:r w:rsidRPr="008270BA">
                              <w:rPr>
                                <w:b/>
                                <w:color w:val="000000" w:themeColor="text1"/>
                                <w:sz w:val="16"/>
                                <w:szCs w:val="16"/>
                              </w:rPr>
                              <w:t>NEGROS</w:t>
                            </w:r>
                          </w:p>
                          <w:p w14:paraId="2957581C" w14:textId="77777777" w:rsidR="008270BA" w:rsidRPr="008270BA" w:rsidRDefault="008270BA" w:rsidP="008270BA">
                            <w:pPr>
                              <w:rPr>
                                <w:b/>
                                <w:color w:val="A6A6A6" w:themeColor="background1" w:themeShade="A6"/>
                                <w:sz w:val="16"/>
                                <w:szCs w:val="16"/>
                              </w:rPr>
                            </w:pPr>
                          </w:p>
                          <w:p w14:paraId="16DBED9C" w14:textId="77777777" w:rsidR="008270BA" w:rsidRPr="008270BA" w:rsidRDefault="008270BA" w:rsidP="008270BA">
                            <w:pPr>
                              <w:rPr>
                                <w:b/>
                                <w:color w:val="A6A6A6" w:themeColor="background1" w:themeShade="A6"/>
                                <w:sz w:val="16"/>
                                <w:szCs w:val="16"/>
                              </w:rPr>
                            </w:pPr>
                            <w:r w:rsidRPr="008270BA">
                              <w:rPr>
                                <w:b/>
                                <w:color w:val="A6A6A6" w:themeColor="background1" w:themeShade="A6"/>
                                <w:sz w:val="16"/>
                                <w:szCs w:val="16"/>
                              </w:rPr>
                              <w:t>Todas las Razas/Etnias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18444" id="_x0000_t202" coordsize="21600,21600" o:spt="202" path="m,l,21600r21600,l21600,xe">
                <v:stroke joinstyle="miter"/>
                <v:path gradientshapeok="t" o:connecttype="rect"/>
              </v:shapetype>
              <v:shape id="Text Box 19" o:spid="_x0000_s1026" type="#_x0000_t202" style="position:absolute;left:0;text-align:left;margin-left:401.5pt;margin-top:40.75pt;width:70.5pt;height:70.75pt;z-index:4875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" strokecolor="white [3212]">
                <v:textbox>
                  <w:txbxContent>
                    <w:p w14:paraId="18EA8C7A" w14:textId="77777777" w:rsidR="008270BA" w:rsidRPr="008270BA" w:rsidRDefault="008270BA" w:rsidP="008270BA">
                      <w:pPr>
                        <w:rPr>
                          <w:b/>
                          <w:color w:val="82CAC1"/>
                          <w:sz w:val="16"/>
                          <w:szCs w:val="16"/>
                        </w:rPr>
                      </w:pPr>
                      <w:r w:rsidRPr="008270BA">
                        <w:rPr>
                          <w:b/>
                          <w:color w:val="82CAC1"/>
                          <w:sz w:val="16"/>
                          <w:szCs w:val="16"/>
                        </w:rPr>
                        <w:t>BLANCOS</w:t>
                      </w:r>
                    </w:p>
                    <w:p w14:paraId="791BDBEA" w14:textId="77777777" w:rsidR="008270BA" w:rsidRPr="008270BA" w:rsidRDefault="008270BA" w:rsidP="008270BA">
                      <w:pPr>
                        <w:rPr>
                          <w:b/>
                          <w:color w:val="7030A0"/>
                          <w:sz w:val="16"/>
                          <w:szCs w:val="16"/>
                        </w:rPr>
                      </w:pPr>
                      <w:r w:rsidRPr="008270BA">
                        <w:rPr>
                          <w:b/>
                          <w:color w:val="7030A0"/>
                          <w:sz w:val="16"/>
                          <w:szCs w:val="16"/>
                        </w:rPr>
                        <w:t>HISPANOS</w:t>
                      </w:r>
                    </w:p>
                    <w:p w14:paraId="3CD097AB" w14:textId="77777777" w:rsidR="008270BA" w:rsidRPr="008270BA" w:rsidRDefault="008270BA" w:rsidP="008270BA">
                      <w:pPr>
                        <w:rPr>
                          <w:b/>
                          <w:color w:val="000000" w:themeColor="text1"/>
                          <w:sz w:val="16"/>
                          <w:szCs w:val="16"/>
                        </w:rPr>
                      </w:pPr>
                      <w:r w:rsidRPr="008270BA">
                        <w:rPr>
                          <w:b/>
                          <w:color w:val="000000" w:themeColor="text1"/>
                          <w:sz w:val="16"/>
                          <w:szCs w:val="16"/>
                        </w:rPr>
                        <w:t>NEGROS</w:t>
                      </w:r>
                    </w:p>
                    <w:p w14:paraId="2957581C" w14:textId="77777777" w:rsidR="008270BA" w:rsidRPr="008270BA" w:rsidRDefault="008270BA" w:rsidP="008270BA">
                      <w:pPr>
                        <w:rPr>
                          <w:b/>
                          <w:color w:val="A6A6A6" w:themeColor="background1" w:themeShade="A6"/>
                          <w:sz w:val="16"/>
                          <w:szCs w:val="16"/>
                        </w:rPr>
                      </w:pPr>
                    </w:p>
                    <w:p w14:paraId="16DBED9C" w14:textId="77777777" w:rsidR="008270BA" w:rsidRPr="008270BA" w:rsidRDefault="008270BA" w:rsidP="008270BA">
                      <w:pPr>
                        <w:rPr>
                          <w:b/>
                          <w:color w:val="A6A6A6" w:themeColor="background1" w:themeShade="A6"/>
                          <w:sz w:val="16"/>
                          <w:szCs w:val="16"/>
                        </w:rPr>
                      </w:pPr>
                      <w:r w:rsidRPr="008270BA">
                        <w:rPr>
                          <w:b/>
                          <w:color w:val="A6A6A6" w:themeColor="background1" w:themeShade="A6"/>
                          <w:sz w:val="16"/>
                          <w:szCs w:val="16"/>
                        </w:rPr>
                        <w:t>Todas las Razas/Etnias</w:t>
                      </w:r>
                    </w:p>
                  </w:txbxContent>
                </v:textbox>
              </v:shape>
            </w:pict>
          </mc:Fallback>
        </mc:AlternateContent>
      </w:r>
      <w:r>
        <w:rPr>
          <w:rFonts w:ascii="Times New Roman" w:eastAsiaTheme="minorEastAsia" w:hAnsi="Times New Roman" w:cs="Times New Roman"/>
          <w:noProof/>
        </w:rPr>
        <mc:AlternateContent>
          <mc:Choice Requires="wps">
            <w:drawing>
              <wp:anchor distT="0" distB="0" distL="114300" distR="114300" simplePos="0" relativeHeight="487599104" behindDoc="0" locked="0" layoutInCell="1" allowOverlap="1" wp14:anchorId="2A0BEDAF" wp14:editId="44B27E91">
                <wp:simplePos x="0" y="0"/>
                <wp:positionH relativeFrom="column">
                  <wp:posOffset>1060450</wp:posOffset>
                </wp:positionH>
                <wp:positionV relativeFrom="paragraph">
                  <wp:posOffset>15875</wp:posOffset>
                </wp:positionV>
                <wp:extent cx="2070100" cy="220345"/>
                <wp:effectExtent l="0" t="0" r="0" b="0"/>
                <wp:wrapNone/>
                <wp:docPr id="5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20345"/>
                        </a:xfrm>
                        <a:prstGeom prst="rect">
                          <a:avLst/>
                        </a:prstGeom>
                        <a:solidFill>
                          <a:srgbClr val="FFFFFF"/>
                        </a:solidFill>
                        <a:ln w="9525">
                          <a:solidFill>
                            <a:schemeClr val="bg1">
                              <a:lumMod val="100000"/>
                              <a:lumOff val="0"/>
                            </a:schemeClr>
                          </a:solidFill>
                          <a:miter lim="800000"/>
                          <a:headEnd/>
                          <a:tailEnd/>
                        </a:ln>
                      </wps:spPr>
                      <wps:txbx>
                        <w:txbxContent>
                          <w:p w14:paraId="78893CEB" w14:textId="77777777" w:rsidR="008270BA" w:rsidRPr="008270BA" w:rsidRDefault="008270BA" w:rsidP="008270BA">
                            <w:pPr>
                              <w:rPr>
                                <w:color w:val="1F497D" w:themeColor="text2"/>
                                <w:sz w:val="18"/>
                                <w:szCs w:val="18"/>
                              </w:rPr>
                            </w:pPr>
                            <w:r w:rsidRPr="008270BA">
                              <w:rPr>
                                <w:color w:val="1F497D" w:themeColor="text2"/>
                                <w:sz w:val="18"/>
                                <w:szCs w:val="18"/>
                              </w:rPr>
                              <w:t>Índice por cada 100,000 personas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BEDAF" id="Text Box 21" o:spid="_x0000_s1027" type="#_x0000_t202" style="position:absolute;left:0;text-align:left;margin-left:83.5pt;margin-top:1.25pt;width:163pt;height:17.35pt;z-index:4875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" strokecolor="white [3212]">
                <v:textbox>
                  <w:txbxContent>
                    <w:p w14:paraId="78893CEB" w14:textId="77777777" w:rsidR="008270BA" w:rsidRPr="008270BA" w:rsidRDefault="008270BA" w:rsidP="008270BA">
                      <w:pPr>
                        <w:rPr>
                          <w:color w:val="1F497D" w:themeColor="text2"/>
                          <w:sz w:val="18"/>
                          <w:szCs w:val="18"/>
                        </w:rPr>
                      </w:pPr>
                      <w:r w:rsidRPr="008270BA">
                        <w:rPr>
                          <w:color w:val="1F497D" w:themeColor="text2"/>
                          <w:sz w:val="18"/>
                          <w:szCs w:val="18"/>
                        </w:rPr>
                        <w:t>Índice por cada 100,000 personas</w:t>
                      </w:r>
                    </w:p>
                  </w:txbxContent>
                </v:textbox>
              </v:shape>
            </w:pict>
          </mc:Fallback>
        </mc:AlternateContent>
      </w:r>
      <w:r>
        <w:rPr>
          <w:noProof/>
          <w:sz w:val="20"/>
          <w:lang w:val="es-AR" w:eastAsia="es-AR"/>
        </w:rPr>
        <mc:AlternateContent>
          <mc:Choice Requires="wps">
            <w:drawing>
              <wp:anchor distT="0" distB="0" distL="114300" distR="114300" simplePos="0" relativeHeight="487592960" behindDoc="0" locked="0" layoutInCell="1" allowOverlap="1" wp14:anchorId="26AA2945" wp14:editId="1BBD8520">
                <wp:simplePos x="0" y="0"/>
                <wp:positionH relativeFrom="column">
                  <wp:posOffset>-225425</wp:posOffset>
                </wp:positionH>
                <wp:positionV relativeFrom="paragraph">
                  <wp:posOffset>1120775</wp:posOffset>
                </wp:positionV>
                <wp:extent cx="1228725" cy="295275"/>
                <wp:effectExtent l="0" t="0" r="0" b="0"/>
                <wp:wrapNone/>
                <wp:docPr id="5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95275"/>
                        </a:xfrm>
                        <a:prstGeom prst="rect">
                          <a:avLst/>
                        </a:prstGeom>
                        <a:solidFill>
                          <a:srgbClr val="FFFFFF"/>
                        </a:solidFill>
                        <a:ln w="9525">
                          <a:solidFill>
                            <a:schemeClr val="bg1">
                              <a:lumMod val="100000"/>
                              <a:lumOff val="0"/>
                            </a:schemeClr>
                          </a:solidFill>
                          <a:miter lim="800000"/>
                          <a:headEnd/>
                          <a:tailEnd/>
                        </a:ln>
                      </wps:spPr>
                      <wps:txbx>
                        <w:txbxContent>
                          <w:p w14:paraId="5B953EE4" w14:textId="77777777" w:rsidR="008270BA" w:rsidRPr="008270BA" w:rsidRDefault="008270BA" w:rsidP="008270BA">
                            <w:pPr>
                              <w:rPr>
                                <w:color w:val="A6A6A6" w:themeColor="background1" w:themeShade="A6"/>
                                <w:sz w:val="18"/>
                                <w:szCs w:val="18"/>
                              </w:rPr>
                            </w:pPr>
                            <w:r>
                              <w:rPr>
                                <w:color w:val="A6A6A6" w:themeColor="background1" w:themeShade="A6"/>
                                <w:sz w:val="18"/>
                                <w:szCs w:val="18"/>
                              </w:rPr>
                              <w:t xml:space="preserve">Het de Alto Riesgo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A2945" id="Text Box 18" o:spid="_x0000_s1028" type="#_x0000_t202" style="position:absolute;left:0;text-align:left;margin-left:-17.75pt;margin-top:88.25pt;width:96.75pt;height:23.25pt;z-index:4875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" strokecolor="white [3212]">
                <v:textbox>
                  <w:txbxContent>
                    <w:p w14:paraId="5B953EE4" w14:textId="77777777" w:rsidR="008270BA" w:rsidRPr="008270BA" w:rsidRDefault="008270BA" w:rsidP="008270BA">
                      <w:pPr>
                        <w:rPr>
                          <w:color w:val="A6A6A6" w:themeColor="background1" w:themeShade="A6"/>
                          <w:sz w:val="18"/>
                          <w:szCs w:val="18"/>
                        </w:rPr>
                      </w:pPr>
                      <w:r>
                        <w:rPr>
                          <w:color w:val="A6A6A6" w:themeColor="background1" w:themeShade="A6"/>
                          <w:sz w:val="18"/>
                          <w:szCs w:val="18"/>
                        </w:rPr>
                        <w:t xml:space="preserve">Het de Alto Riesgo </w:t>
                      </w:r>
                    </w:p>
                  </w:txbxContent>
                </v:textbox>
              </v:shape>
            </w:pict>
          </mc:Fallback>
        </mc:AlternateContent>
      </w:r>
      <w:r>
        <w:rPr>
          <w:noProof/>
          <w:sz w:val="20"/>
          <w:lang w:val="es-AR" w:eastAsia="es-AR"/>
        </w:rPr>
        <mc:AlternateContent>
          <mc:Choice Requires="wps">
            <w:drawing>
              <wp:anchor distT="0" distB="0" distL="114300" distR="114300" simplePos="0" relativeHeight="487591936" behindDoc="0" locked="0" layoutInCell="1" allowOverlap="1" wp14:anchorId="68FDF59C" wp14:editId="1145271B">
                <wp:simplePos x="0" y="0"/>
                <wp:positionH relativeFrom="column">
                  <wp:posOffset>346075</wp:posOffset>
                </wp:positionH>
                <wp:positionV relativeFrom="paragraph">
                  <wp:posOffset>635000</wp:posOffset>
                </wp:positionV>
                <wp:extent cx="714375" cy="295275"/>
                <wp:effectExtent l="0" t="0" r="0" b="0"/>
                <wp:wrapNone/>
                <wp:docPr id="4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5275"/>
                        </a:xfrm>
                        <a:prstGeom prst="rect">
                          <a:avLst/>
                        </a:prstGeom>
                        <a:solidFill>
                          <a:srgbClr val="FFFFFF"/>
                        </a:solidFill>
                        <a:ln w="9525">
                          <a:solidFill>
                            <a:schemeClr val="bg1">
                              <a:lumMod val="100000"/>
                              <a:lumOff val="0"/>
                            </a:schemeClr>
                          </a:solidFill>
                          <a:miter lim="800000"/>
                          <a:headEnd/>
                          <a:tailEnd/>
                        </a:ln>
                      </wps:spPr>
                      <wps:txbx>
                        <w:txbxContent>
                          <w:p w14:paraId="512AD83F" w14:textId="77777777" w:rsidR="008270BA" w:rsidRPr="008270BA" w:rsidRDefault="008270BA">
                            <w:pPr>
                              <w:rPr>
                                <w:color w:val="A6A6A6" w:themeColor="background1" w:themeShade="A6"/>
                                <w:sz w:val="18"/>
                                <w:szCs w:val="18"/>
                              </w:rPr>
                            </w:pPr>
                            <w:r w:rsidRPr="008270BA">
                              <w:rPr>
                                <w:color w:val="A6A6A6" w:themeColor="background1" w:themeShade="A6"/>
                                <w:sz w:val="18"/>
                                <w:szCs w:val="18"/>
                              </w:rPr>
                              <w:t>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DF59C" id="Text Box 17" o:spid="_x0000_s1029" type="#_x0000_t202" style="position:absolute;left:0;text-align:left;margin-left:27.25pt;margin-top:50pt;width:56.25pt;height:23.25pt;z-index:4875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" strokecolor="white [3212]">
                <v:textbox>
                  <w:txbxContent>
                    <w:p w14:paraId="512AD83F" w14:textId="77777777" w:rsidR="008270BA" w:rsidRPr="008270BA" w:rsidRDefault="008270BA">
                      <w:pPr>
                        <w:rPr>
                          <w:color w:val="A6A6A6" w:themeColor="background1" w:themeShade="A6"/>
                          <w:sz w:val="18"/>
                          <w:szCs w:val="18"/>
                        </w:rPr>
                      </w:pPr>
                      <w:r w:rsidRPr="008270BA">
                        <w:rPr>
                          <w:color w:val="A6A6A6" w:themeColor="background1" w:themeShade="A6"/>
                          <w:sz w:val="18"/>
                          <w:szCs w:val="18"/>
                        </w:rPr>
                        <w:t>General</w:t>
                      </w:r>
                    </w:p>
                  </w:txbxContent>
                </v:textbox>
              </v:shape>
            </w:pict>
          </mc:Fallback>
        </mc:AlternateContent>
      </w:r>
      <w:r w:rsidR="008270BA" w:rsidRPr="008270BA">
        <w:rPr>
          <w:noProof/>
          <w:w w:val="90"/>
          <w:sz w:val="20"/>
          <w:lang w:val="es-AR" w:eastAsia="es-AR"/>
        </w:rPr>
        <w:drawing>
          <wp:inline distT="0" distB="0" distL="0" distR="0" wp14:anchorId="71C44EB1" wp14:editId="130BC128">
            <wp:extent cx="6000949" cy="276186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6000949" cy="2761869"/>
                    </a:xfrm>
                    <a:prstGeom prst="rect">
                      <a:avLst/>
                    </a:prstGeom>
                  </pic:spPr>
                </pic:pic>
              </a:graphicData>
            </a:graphic>
          </wp:inline>
        </w:drawing>
      </w:r>
    </w:p>
    <w:p w14:paraId="51C239DF" w14:textId="77777777" w:rsidR="00A36BA5" w:rsidRPr="008270BA" w:rsidRDefault="008270BA">
      <w:pPr>
        <w:pStyle w:val="BodyText"/>
        <w:spacing w:before="245" w:line="242" w:lineRule="auto"/>
        <w:ind w:left="120"/>
        <w:rPr>
          <w:w w:val="90"/>
        </w:rPr>
      </w:pPr>
      <w:r w:rsidRPr="008270BA">
        <w:rPr>
          <w:w w:val="90"/>
        </w:rPr>
        <w:t xml:space="preserve">Consulte el </w:t>
      </w:r>
      <w:r w:rsidRPr="008270BA">
        <w:rPr>
          <w:i/>
          <w:w w:val="90"/>
        </w:rPr>
        <w:t xml:space="preserve">Apéndice A </w:t>
      </w:r>
      <w:r w:rsidRPr="008270BA">
        <w:rPr>
          <w:w w:val="90"/>
        </w:rPr>
        <w:t xml:space="preserve">y el </w:t>
      </w:r>
      <w:r w:rsidRPr="008270BA">
        <w:rPr>
          <w:i/>
          <w:w w:val="90"/>
        </w:rPr>
        <w:t xml:space="preserve">Apéndice B </w:t>
      </w:r>
      <w:r w:rsidRPr="008270BA">
        <w:rPr>
          <w:w w:val="90"/>
        </w:rPr>
        <w:t>para ver indicadores de atención y prevención dispuestos por pilar para todas las subpoblaciones.</w:t>
      </w:r>
    </w:p>
    <w:p w14:paraId="2332FBA7" w14:textId="77777777" w:rsidR="00A36BA5" w:rsidRPr="008270BA" w:rsidRDefault="00A36BA5">
      <w:pPr>
        <w:spacing w:line="242" w:lineRule="auto"/>
        <w:rPr>
          <w:w w:val="90"/>
        </w:rPr>
        <w:sectPr w:rsidR="00A36BA5" w:rsidRPr="008270BA">
          <w:pgSz w:w="12240" w:h="15840"/>
          <w:pgMar w:top="1240" w:right="980" w:bottom="1240" w:left="1060" w:header="731" w:footer="917" w:gutter="0"/>
          <w:cols w:space="720"/>
        </w:sectPr>
      </w:pPr>
    </w:p>
    <w:p w14:paraId="75ECEEC3" w14:textId="77777777" w:rsidR="00A36BA5" w:rsidRPr="008270BA" w:rsidRDefault="008270BA">
      <w:pPr>
        <w:pStyle w:val="Heading2"/>
        <w:rPr>
          <w:w w:val="90"/>
        </w:rPr>
      </w:pPr>
      <w:bookmarkStart w:id="1" w:name="_TOC_250023"/>
      <w:r w:rsidRPr="008270BA">
        <w:rPr>
          <w:w w:val="90"/>
        </w:rPr>
        <w:lastRenderedPageBreak/>
        <w:t xml:space="preserve">Pilar uno: </w:t>
      </w:r>
      <w:bookmarkEnd w:id="1"/>
      <w:r w:rsidRPr="008270BA">
        <w:rPr>
          <w:w w:val="90"/>
        </w:rPr>
        <w:t>Diagnosticar</w:t>
      </w:r>
    </w:p>
    <w:p w14:paraId="1D90986B" w14:textId="77777777" w:rsidR="00A36BA5" w:rsidRPr="008270BA" w:rsidRDefault="008270BA">
      <w:pPr>
        <w:pStyle w:val="BodyText"/>
        <w:spacing w:before="295" w:line="249" w:lineRule="auto"/>
        <w:ind w:left="120" w:right="186"/>
        <w:rPr>
          <w:w w:val="90"/>
        </w:rPr>
      </w:pPr>
      <w:r w:rsidRPr="008270BA">
        <w:rPr>
          <w:w w:val="90"/>
        </w:rPr>
        <w:t>La cantidad de PLWH recién diagnosticadas disminuyó un 13%, de 507 diagnósticos en 2017 a 439 nuevos diagnósticos en 2019</w:t>
      </w:r>
      <w:r w:rsidRPr="008270BA">
        <w:rPr>
          <w:w w:val="90"/>
          <w:sz w:val="16"/>
        </w:rPr>
        <w:t>2</w:t>
      </w:r>
      <w:r w:rsidRPr="008270BA">
        <w:rPr>
          <w:w w:val="90"/>
        </w:rPr>
        <w:t xml:space="preserve"> (Gráfico 2). La Ciudad ha experimentado reducciones constantes en nuevos diagnósticos de VIH desde mediados de la década del 2000, de manera consistente con las tendencias nacionales.</w:t>
      </w:r>
    </w:p>
    <w:p w14:paraId="4F33F1CC" w14:textId="77777777" w:rsidR="00A36BA5" w:rsidRPr="008270BA" w:rsidRDefault="008270BA">
      <w:pPr>
        <w:pStyle w:val="ListParagraph"/>
        <w:numPr>
          <w:ilvl w:val="0"/>
          <w:numId w:val="7"/>
        </w:numPr>
        <w:tabs>
          <w:tab w:val="left" w:pos="658"/>
        </w:tabs>
        <w:spacing w:before="154" w:line="242" w:lineRule="auto"/>
        <w:ind w:right="304" w:hanging="360"/>
        <w:rPr>
          <w:rFonts w:ascii="Symbol" w:hAnsi="Symbol"/>
          <w:color w:val="201F1E"/>
          <w:w w:val="90"/>
          <w:sz w:val="24"/>
        </w:rPr>
      </w:pPr>
      <w:r w:rsidRPr="008270BA">
        <w:rPr>
          <w:color w:val="201F1E"/>
          <w:w w:val="90"/>
          <w:sz w:val="24"/>
        </w:rPr>
        <w:t>En 2019, más de un tercio de las personas diagnosticadas con VIH fueron hombres negros que tienen sexo con hombres (</w:t>
      </w:r>
      <w:proofErr w:type="spellStart"/>
      <w:r w:rsidRPr="008270BA">
        <w:rPr>
          <w:color w:val="201F1E"/>
          <w:w w:val="90"/>
          <w:sz w:val="24"/>
        </w:rPr>
        <w:t>men</w:t>
      </w:r>
      <w:proofErr w:type="spellEnd"/>
      <w:r w:rsidRPr="008270BA">
        <w:rPr>
          <w:color w:val="201F1E"/>
          <w:w w:val="90"/>
          <w:sz w:val="24"/>
        </w:rPr>
        <w:t xml:space="preserve"> </w:t>
      </w:r>
      <w:proofErr w:type="spellStart"/>
      <w:r w:rsidRPr="008270BA">
        <w:rPr>
          <w:color w:val="201F1E"/>
          <w:w w:val="90"/>
          <w:sz w:val="24"/>
        </w:rPr>
        <w:t>who</w:t>
      </w:r>
      <w:proofErr w:type="spellEnd"/>
      <w:r w:rsidRPr="008270BA">
        <w:rPr>
          <w:color w:val="201F1E"/>
          <w:w w:val="90"/>
          <w:sz w:val="24"/>
        </w:rPr>
        <w:t xml:space="preserve"> </w:t>
      </w:r>
      <w:proofErr w:type="spellStart"/>
      <w:r w:rsidRPr="008270BA">
        <w:rPr>
          <w:color w:val="201F1E"/>
          <w:w w:val="90"/>
          <w:sz w:val="24"/>
        </w:rPr>
        <w:t>have</w:t>
      </w:r>
      <w:proofErr w:type="spellEnd"/>
      <w:r w:rsidRPr="008270BA">
        <w:rPr>
          <w:color w:val="201F1E"/>
          <w:w w:val="90"/>
          <w:sz w:val="24"/>
        </w:rPr>
        <w:t xml:space="preserve"> sex </w:t>
      </w:r>
      <w:proofErr w:type="spellStart"/>
      <w:r w:rsidRPr="008270BA">
        <w:rPr>
          <w:color w:val="201F1E"/>
          <w:w w:val="90"/>
          <w:sz w:val="24"/>
        </w:rPr>
        <w:t>with</w:t>
      </w:r>
      <w:proofErr w:type="spellEnd"/>
      <w:r w:rsidRPr="008270BA">
        <w:rPr>
          <w:color w:val="201F1E"/>
          <w:w w:val="90"/>
          <w:sz w:val="24"/>
        </w:rPr>
        <w:t xml:space="preserve"> </w:t>
      </w:r>
      <w:proofErr w:type="spellStart"/>
      <w:r w:rsidRPr="008270BA">
        <w:rPr>
          <w:color w:val="201F1E"/>
          <w:w w:val="90"/>
          <w:sz w:val="24"/>
        </w:rPr>
        <w:t>men</w:t>
      </w:r>
      <w:proofErr w:type="spellEnd"/>
      <w:r w:rsidRPr="008270BA">
        <w:rPr>
          <w:color w:val="201F1E"/>
          <w:w w:val="90"/>
          <w:sz w:val="24"/>
        </w:rPr>
        <w:t>, MSM). En 2019, aproximadamente el 1.6% de MSM negros que eran VIH negativo fueron diagnosticados con VIH, en comparación con el 1.3% de MSM hispanos/latinos y el 0.2% de MSM blancos.</w:t>
      </w:r>
    </w:p>
    <w:p w14:paraId="16D01067" w14:textId="77777777" w:rsidR="00A36BA5" w:rsidRPr="008270BA" w:rsidRDefault="008270BA">
      <w:pPr>
        <w:pStyle w:val="ListParagraph"/>
        <w:numPr>
          <w:ilvl w:val="0"/>
          <w:numId w:val="7"/>
        </w:numPr>
        <w:tabs>
          <w:tab w:val="left" w:pos="658"/>
        </w:tabs>
        <w:spacing w:before="23" w:line="242" w:lineRule="auto"/>
        <w:ind w:right="533" w:hanging="360"/>
        <w:rPr>
          <w:rFonts w:ascii="Symbol" w:hAnsi="Symbol"/>
          <w:color w:val="201F1E"/>
          <w:w w:val="90"/>
          <w:sz w:val="24"/>
        </w:rPr>
      </w:pPr>
      <w:r w:rsidRPr="008270BA">
        <w:rPr>
          <w:color w:val="201F1E"/>
          <w:w w:val="90"/>
          <w:sz w:val="24"/>
        </w:rPr>
        <w:t>En 2019, hubo 83 casos recién diagnosticados de VIH entre personas que se inyectan drogas (</w:t>
      </w:r>
      <w:proofErr w:type="spellStart"/>
      <w:r w:rsidRPr="008270BA">
        <w:rPr>
          <w:color w:val="201F1E"/>
          <w:w w:val="90"/>
          <w:sz w:val="24"/>
        </w:rPr>
        <w:t>people</w:t>
      </w:r>
      <w:proofErr w:type="spellEnd"/>
      <w:r w:rsidRPr="008270BA">
        <w:rPr>
          <w:color w:val="201F1E"/>
          <w:w w:val="90"/>
          <w:sz w:val="24"/>
        </w:rPr>
        <w:t xml:space="preserve"> </w:t>
      </w:r>
      <w:proofErr w:type="spellStart"/>
      <w:r w:rsidRPr="008270BA">
        <w:rPr>
          <w:color w:val="201F1E"/>
          <w:w w:val="90"/>
          <w:sz w:val="24"/>
        </w:rPr>
        <w:t>who</w:t>
      </w:r>
      <w:proofErr w:type="spellEnd"/>
      <w:r w:rsidRPr="008270BA">
        <w:rPr>
          <w:color w:val="201F1E"/>
          <w:w w:val="90"/>
          <w:sz w:val="24"/>
        </w:rPr>
        <w:t xml:space="preserve"> </w:t>
      </w:r>
      <w:proofErr w:type="spellStart"/>
      <w:r w:rsidRPr="008270BA">
        <w:rPr>
          <w:color w:val="201F1E"/>
          <w:w w:val="90"/>
          <w:sz w:val="24"/>
        </w:rPr>
        <w:t>inject</w:t>
      </w:r>
      <w:proofErr w:type="spellEnd"/>
      <w:r w:rsidRPr="008270BA">
        <w:rPr>
          <w:color w:val="201F1E"/>
          <w:w w:val="90"/>
          <w:sz w:val="24"/>
        </w:rPr>
        <w:t xml:space="preserve"> </w:t>
      </w:r>
      <w:proofErr w:type="spellStart"/>
      <w:r w:rsidRPr="008270BA">
        <w:rPr>
          <w:color w:val="201F1E"/>
          <w:w w:val="90"/>
          <w:sz w:val="24"/>
        </w:rPr>
        <w:t>drugs</w:t>
      </w:r>
      <w:proofErr w:type="spellEnd"/>
      <w:r w:rsidRPr="008270BA">
        <w:rPr>
          <w:color w:val="201F1E"/>
          <w:w w:val="90"/>
          <w:sz w:val="24"/>
        </w:rPr>
        <w:t>, PWID) (incluidos MSM que se inyectan drogas). Este es un aumento del 151%, en comparación con los 33 casos informados en 2016.</w:t>
      </w:r>
    </w:p>
    <w:p w14:paraId="47120B78" w14:textId="77777777" w:rsidR="00A36BA5" w:rsidRPr="008270BA" w:rsidRDefault="008270BA">
      <w:pPr>
        <w:pStyle w:val="ListParagraph"/>
        <w:numPr>
          <w:ilvl w:val="0"/>
          <w:numId w:val="7"/>
        </w:numPr>
        <w:tabs>
          <w:tab w:val="left" w:pos="658"/>
        </w:tabs>
        <w:spacing w:before="22" w:line="242" w:lineRule="auto"/>
        <w:ind w:right="223" w:hanging="360"/>
        <w:rPr>
          <w:rFonts w:ascii="Symbol" w:hAnsi="Symbol"/>
          <w:color w:val="201F1E"/>
          <w:w w:val="90"/>
          <w:sz w:val="24"/>
        </w:rPr>
      </w:pPr>
      <w:r w:rsidRPr="008270BA">
        <w:rPr>
          <w:color w:val="201F1E"/>
          <w:w w:val="90"/>
          <w:sz w:val="24"/>
        </w:rPr>
        <w:t>De todos los nuevos diagnósticos en 2018, 1 de cada 4 fueron jóvenes de entre 13 y 24 años (1 de cada 6 fueron de entre 20 y 24 años, 1 de cada 15 fueron de entre 13 y 19 años).</w:t>
      </w:r>
    </w:p>
    <w:p w14:paraId="1A4EE272" w14:textId="77777777" w:rsidR="00A36BA5" w:rsidRPr="008270BA" w:rsidRDefault="008270BA">
      <w:pPr>
        <w:pStyle w:val="ListParagraph"/>
        <w:numPr>
          <w:ilvl w:val="0"/>
          <w:numId w:val="7"/>
        </w:numPr>
        <w:tabs>
          <w:tab w:val="left" w:pos="658"/>
        </w:tabs>
        <w:spacing w:before="21" w:line="242" w:lineRule="auto"/>
        <w:ind w:right="962" w:hanging="360"/>
        <w:rPr>
          <w:rFonts w:ascii="Symbol" w:hAnsi="Symbol"/>
          <w:color w:val="201F1E"/>
          <w:w w:val="90"/>
          <w:sz w:val="24"/>
        </w:rPr>
      </w:pPr>
      <w:r w:rsidRPr="008270BA">
        <w:rPr>
          <w:color w:val="201F1E"/>
          <w:w w:val="90"/>
          <w:sz w:val="24"/>
        </w:rPr>
        <w:t>El PDPH estima que hay 1,700 personas que viven con VIH y no lo saben. Estas personas representaron el 39% de las nuevas infecciones en 2018.</w:t>
      </w:r>
    </w:p>
    <w:p w14:paraId="5F51FFCF" w14:textId="77777777" w:rsidR="00A36BA5" w:rsidRPr="008270BA" w:rsidRDefault="008270BA">
      <w:pPr>
        <w:pStyle w:val="ListParagraph"/>
        <w:numPr>
          <w:ilvl w:val="0"/>
          <w:numId w:val="7"/>
        </w:numPr>
        <w:tabs>
          <w:tab w:val="left" w:pos="658"/>
        </w:tabs>
        <w:spacing w:before="22" w:line="242" w:lineRule="auto"/>
        <w:ind w:right="293" w:hanging="360"/>
        <w:rPr>
          <w:rFonts w:ascii="Symbol" w:hAnsi="Symbol"/>
          <w:color w:val="201F1E"/>
          <w:w w:val="90"/>
          <w:sz w:val="24"/>
        </w:rPr>
      </w:pPr>
      <w:r w:rsidRPr="008270BA">
        <w:rPr>
          <w:color w:val="201F1E"/>
          <w:w w:val="90"/>
          <w:sz w:val="24"/>
        </w:rPr>
        <w:t>De los grupos de riesgo de transmisión de VIH, los MSM tienen la tasa estimada de desconocimiento más alta. Se estima que hay mil MSM que viven con VIH, o el 14%, y no están al tanto de su estado de VIH.</w:t>
      </w:r>
    </w:p>
    <w:p w14:paraId="67CFA494" w14:textId="77777777" w:rsidR="00A36BA5" w:rsidRPr="008270BA" w:rsidRDefault="008270BA">
      <w:pPr>
        <w:pStyle w:val="ListParagraph"/>
        <w:numPr>
          <w:ilvl w:val="0"/>
          <w:numId w:val="7"/>
        </w:numPr>
        <w:tabs>
          <w:tab w:val="left" w:pos="658"/>
        </w:tabs>
        <w:spacing w:before="22"/>
        <w:ind w:left="657"/>
        <w:rPr>
          <w:rFonts w:ascii="Symbol" w:hAnsi="Symbol"/>
          <w:color w:val="201F1E"/>
          <w:w w:val="90"/>
          <w:sz w:val="24"/>
        </w:rPr>
      </w:pPr>
      <w:r w:rsidRPr="008270BA">
        <w:rPr>
          <w:color w:val="201F1E"/>
          <w:w w:val="90"/>
          <w:sz w:val="24"/>
        </w:rPr>
        <w:t>Más de un tercio de los jóvenes de entre 13 y 24 años que viven con VIH no lo saben.</w:t>
      </w:r>
    </w:p>
    <w:p w14:paraId="23E9AFB0" w14:textId="77777777" w:rsidR="00A36BA5" w:rsidRPr="008270BA" w:rsidRDefault="008270BA">
      <w:pPr>
        <w:pStyle w:val="ListParagraph"/>
        <w:numPr>
          <w:ilvl w:val="0"/>
          <w:numId w:val="7"/>
        </w:numPr>
        <w:tabs>
          <w:tab w:val="left" w:pos="658"/>
        </w:tabs>
        <w:spacing w:before="3"/>
        <w:ind w:right="240" w:hanging="360"/>
        <w:rPr>
          <w:rFonts w:ascii="Symbol" w:hAnsi="Symbol"/>
          <w:color w:val="201F1E"/>
          <w:w w:val="90"/>
          <w:sz w:val="24"/>
        </w:rPr>
      </w:pPr>
      <w:r w:rsidRPr="008270BA">
        <w:rPr>
          <w:color w:val="201F1E"/>
          <w:w w:val="90"/>
          <w:sz w:val="24"/>
        </w:rPr>
        <w:t>Si bien actualmente no hay datos disponibles para personas transgénero, el PDPH estima que aproximadamente el 17% no sabe sobre su estado de VIH (con base en datos nacionales)</w:t>
      </w:r>
      <w:r w:rsidRPr="008270BA">
        <w:rPr>
          <w:color w:val="201F1E"/>
          <w:w w:val="90"/>
          <w:sz w:val="16"/>
        </w:rPr>
        <w:t>3</w:t>
      </w:r>
      <w:r w:rsidRPr="008270BA">
        <w:rPr>
          <w:color w:val="201F1E"/>
          <w:w w:val="90"/>
          <w:sz w:val="24"/>
        </w:rPr>
        <w:t>.</w:t>
      </w:r>
    </w:p>
    <w:p w14:paraId="5705B852" w14:textId="77777777" w:rsidR="00A36BA5" w:rsidRPr="008270BA" w:rsidRDefault="00A36BA5">
      <w:pPr>
        <w:pStyle w:val="BodyText"/>
        <w:spacing w:before="9"/>
        <w:rPr>
          <w:w w:val="90"/>
          <w:sz w:val="25"/>
        </w:rPr>
      </w:pPr>
    </w:p>
    <w:p w14:paraId="117D0346" w14:textId="77777777" w:rsidR="00A36BA5" w:rsidRPr="008270BA" w:rsidRDefault="008270BA">
      <w:pPr>
        <w:pStyle w:val="Heading3"/>
        <w:spacing w:before="1" w:after="17"/>
        <w:ind w:left="573" w:right="214"/>
        <w:jc w:val="center"/>
        <w:rPr>
          <w:b w:val="0"/>
          <w:w w:val="90"/>
          <w:sz w:val="16"/>
        </w:rPr>
      </w:pPr>
      <w:r w:rsidRPr="008270BA">
        <w:rPr>
          <w:color w:val="201F1E"/>
          <w:w w:val="90"/>
        </w:rPr>
        <w:t>Gráfico 2: Nuevos diagnósticos de VIH por categoría de transmisión 2007-2019</w:t>
      </w:r>
      <w:r w:rsidRPr="008270BA">
        <w:rPr>
          <w:b w:val="0"/>
          <w:w w:val="90"/>
          <w:sz w:val="16"/>
        </w:rPr>
        <w:t>1</w:t>
      </w:r>
    </w:p>
    <w:p w14:paraId="03F353F9" w14:textId="77777777" w:rsidR="00A36BA5" w:rsidRPr="008270BA" w:rsidRDefault="008270BA">
      <w:pPr>
        <w:pStyle w:val="BodyText"/>
        <w:ind w:left="1975"/>
        <w:rPr>
          <w:w w:val="90"/>
          <w:sz w:val="20"/>
        </w:rPr>
      </w:pPr>
      <w:r w:rsidRPr="008270BA">
        <w:rPr>
          <w:noProof/>
          <w:w w:val="90"/>
          <w:sz w:val="20"/>
          <w:lang w:val="es-AR" w:eastAsia="es-AR"/>
        </w:rPr>
        <w:drawing>
          <wp:inline distT="0" distB="0" distL="0" distR="0" wp14:anchorId="44FDE1E4" wp14:editId="5ACFB0CF">
            <wp:extent cx="4203532" cy="30861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4203532" cy="3086100"/>
                    </a:xfrm>
                    <a:prstGeom prst="rect">
                      <a:avLst/>
                    </a:prstGeom>
                  </pic:spPr>
                </pic:pic>
              </a:graphicData>
            </a:graphic>
          </wp:inline>
        </w:drawing>
      </w:r>
    </w:p>
    <w:p w14:paraId="28E92C22" w14:textId="671DF485" w:rsidR="00A36BA5" w:rsidRPr="008270BA" w:rsidRDefault="009D4B53" w:rsidP="008270BA">
      <w:pPr>
        <w:pStyle w:val="BodyText"/>
        <w:spacing w:before="8"/>
        <w:rPr>
          <w:i/>
          <w:w w:val="90"/>
          <w:sz w:val="16"/>
        </w:rPr>
      </w:pPr>
      <w:r>
        <w:rPr>
          <w:noProof/>
          <w:w w:val="90"/>
        </w:rPr>
        <mc:AlternateContent>
          <mc:Choice Requires="wps">
            <w:drawing>
              <wp:anchor distT="0" distB="0" distL="0" distR="0" simplePos="0" relativeHeight="487588352" behindDoc="1" locked="0" layoutInCell="1" allowOverlap="1" wp14:anchorId="6CBECBE4" wp14:editId="020724DD">
                <wp:simplePos x="0" y="0"/>
                <wp:positionH relativeFrom="page">
                  <wp:posOffset>749300</wp:posOffset>
                </wp:positionH>
                <wp:positionV relativeFrom="paragraph">
                  <wp:posOffset>147320</wp:posOffset>
                </wp:positionV>
                <wp:extent cx="1828800" cy="12700"/>
                <wp:effectExtent l="0" t="0" r="0" b="0"/>
                <wp:wrapTopAndBottom/>
                <wp:docPr id="48" name="208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34443" id="208763" o:spid="_x0000_s1026" style="position:absolute;margin-left:59pt;margin-top:11.6pt;width:2in;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" fillcolor="black" stroked="f">
                <w10:wrap type="topAndBottom" anchorx="page"/>
              </v:rect>
            </w:pict>
          </mc:Fallback>
        </mc:AlternateContent>
      </w:r>
      <w:r w:rsidR="008270BA">
        <w:rPr>
          <w:w w:val="90"/>
          <w:sz w:val="16"/>
          <w:vertAlign w:val="superscript"/>
        </w:rPr>
        <w:t xml:space="preserve"> </w:t>
      </w:r>
      <w:r w:rsidR="008270BA" w:rsidRPr="008270BA">
        <w:rPr>
          <w:w w:val="90"/>
          <w:sz w:val="16"/>
          <w:vertAlign w:val="superscript"/>
        </w:rPr>
        <w:t>1</w:t>
      </w:r>
      <w:r w:rsidR="008270BA" w:rsidRPr="008270BA">
        <w:rPr>
          <w:w w:val="90"/>
          <w:sz w:val="16"/>
        </w:rPr>
        <w:t xml:space="preserve"> </w:t>
      </w:r>
      <w:r w:rsidR="008270BA" w:rsidRPr="008270BA">
        <w:rPr>
          <w:i/>
          <w:color w:val="201F1E"/>
          <w:w w:val="90"/>
          <w:sz w:val="16"/>
        </w:rPr>
        <w:t>Los datos presentados incluyeron nuevos diagnósticos de VIH informados hasta el 30 de junio de 2020.</w:t>
      </w:r>
    </w:p>
    <w:p w14:paraId="144EE26E" w14:textId="77777777" w:rsidR="00A36BA5" w:rsidRPr="008270BA" w:rsidRDefault="008270BA">
      <w:pPr>
        <w:spacing w:line="261" w:lineRule="auto"/>
        <w:ind w:left="480" w:right="212"/>
        <w:rPr>
          <w:w w:val="90"/>
          <w:sz w:val="16"/>
        </w:rPr>
      </w:pPr>
      <w:r w:rsidRPr="008270BA">
        <w:rPr>
          <w:i/>
          <w:color w:val="201F1E"/>
          <w:w w:val="90"/>
          <w:sz w:val="16"/>
        </w:rPr>
        <w:t>Nota: En 2017, el PDPH cambió el método de identificación de la transmisión heterosexual del VIH para que cumpliera con los estándares de recopilación de factores de riesgo del CDC</w:t>
      </w:r>
      <w:r w:rsidRPr="008270BA">
        <w:rPr>
          <w:color w:val="201F1E"/>
          <w:w w:val="90"/>
          <w:sz w:val="16"/>
        </w:rPr>
        <w:t>.</w:t>
      </w:r>
    </w:p>
    <w:p w14:paraId="315153C7" w14:textId="77777777" w:rsidR="00A36BA5" w:rsidRPr="008270BA" w:rsidRDefault="00A36BA5">
      <w:pPr>
        <w:spacing w:line="261" w:lineRule="auto"/>
        <w:rPr>
          <w:w w:val="90"/>
          <w:sz w:val="16"/>
        </w:rPr>
        <w:sectPr w:rsidR="00A36BA5" w:rsidRPr="008270BA">
          <w:pgSz w:w="12240" w:h="15840"/>
          <w:pgMar w:top="1240" w:right="980" w:bottom="1240" w:left="1060" w:header="731" w:footer="917" w:gutter="0"/>
          <w:cols w:space="720"/>
        </w:sectPr>
      </w:pPr>
    </w:p>
    <w:p w14:paraId="1807CD84" w14:textId="77777777" w:rsidR="00A36BA5" w:rsidRPr="008270BA" w:rsidRDefault="008270BA">
      <w:pPr>
        <w:pStyle w:val="Heading2"/>
        <w:rPr>
          <w:w w:val="90"/>
        </w:rPr>
      </w:pPr>
      <w:bookmarkStart w:id="2" w:name="_TOC_250022"/>
      <w:r w:rsidRPr="008270BA">
        <w:rPr>
          <w:w w:val="90"/>
        </w:rPr>
        <w:lastRenderedPageBreak/>
        <w:t xml:space="preserve">Pilar dos: </w:t>
      </w:r>
      <w:bookmarkEnd w:id="2"/>
      <w:r w:rsidRPr="008270BA">
        <w:rPr>
          <w:w w:val="90"/>
        </w:rPr>
        <w:t>Tratar</w:t>
      </w:r>
    </w:p>
    <w:p w14:paraId="7E63FAB8" w14:textId="77777777" w:rsidR="00A36BA5" w:rsidRPr="008270BA" w:rsidRDefault="00A36BA5">
      <w:pPr>
        <w:pStyle w:val="BodyText"/>
        <w:spacing w:before="4"/>
        <w:rPr>
          <w:w w:val="90"/>
          <w:sz w:val="27"/>
        </w:rPr>
      </w:pPr>
    </w:p>
    <w:p w14:paraId="5C9666C5" w14:textId="77777777" w:rsidR="00A36BA5" w:rsidRPr="008270BA" w:rsidRDefault="008270BA">
      <w:pPr>
        <w:pStyle w:val="Heading3"/>
        <w:spacing w:before="1"/>
        <w:ind w:left="120"/>
        <w:rPr>
          <w:w w:val="90"/>
        </w:rPr>
      </w:pPr>
      <w:r w:rsidRPr="008270BA">
        <w:rPr>
          <w:w w:val="90"/>
        </w:rPr>
        <w:t>Continuidad de atención del VIH</w:t>
      </w:r>
    </w:p>
    <w:p w14:paraId="10F16C36" w14:textId="77777777" w:rsidR="00A36BA5" w:rsidRPr="008270BA" w:rsidRDefault="008270BA">
      <w:pPr>
        <w:pStyle w:val="BodyText"/>
        <w:spacing w:before="24" w:line="254" w:lineRule="auto"/>
        <w:ind w:left="120" w:right="158"/>
        <w:rPr>
          <w:w w:val="90"/>
        </w:rPr>
      </w:pPr>
      <w:r w:rsidRPr="008270BA">
        <w:rPr>
          <w:w w:val="90"/>
        </w:rPr>
        <w:t xml:space="preserve">La Continuidad de Atención del VIH (HIV </w:t>
      </w:r>
      <w:proofErr w:type="spellStart"/>
      <w:r w:rsidRPr="008270BA">
        <w:rPr>
          <w:w w:val="90"/>
        </w:rPr>
        <w:t>Care</w:t>
      </w:r>
      <w:proofErr w:type="spellEnd"/>
      <w:r w:rsidRPr="008270BA">
        <w:rPr>
          <w:w w:val="90"/>
        </w:rPr>
        <w:t xml:space="preserve"> Continuum) es una herramienta impulsada por datos que se enfoca en el diagnóstico y la atención de personas que viven con VIH. Atraer a los pacientes de VIH para que reciban atención es fundamental tanto para la salud individual como para reducir la velocidad de propagación de nuevas infecciones de VIH. La Continuidad muestra el porcentaje de personas que viven con VIH en diversas etapas de participación en la atención. El Gráfico 3 a continuación muestra la Continuidad de Atención de VIH modificada y basada en la prevalencia de Filadelfia</w:t>
      </w:r>
      <w:r w:rsidRPr="008270BA">
        <w:rPr>
          <w:w w:val="90"/>
          <w:sz w:val="16"/>
        </w:rPr>
        <w:t>4</w:t>
      </w:r>
      <w:r w:rsidRPr="008270BA">
        <w:rPr>
          <w:w w:val="90"/>
        </w:rPr>
        <w:t xml:space="preserve">. Consulte el </w:t>
      </w:r>
      <w:r w:rsidRPr="008270BA">
        <w:rPr>
          <w:i/>
          <w:w w:val="90"/>
        </w:rPr>
        <w:t xml:space="preserve">Apéndice C </w:t>
      </w:r>
      <w:r w:rsidRPr="008270BA">
        <w:rPr>
          <w:w w:val="90"/>
        </w:rPr>
        <w:t>para encontrar definiciones de cada etapa de la Continuidad de Atención.. Típicamente, los resultados de la Continuidad de Atención del VIH están basados en los recuentos totales de datos de salud pública sobre VIH. Sin embargo, esta metodología puede sobreestimar la cantidad de PLWH debido a casos informados en duplicado, migración y muertes de PLWH pasadas por alto. En esta Continuidad de Atención de VIH modificada basada en la prevalencia, el PDPH ha excluido a personas sin evidencia de atención reciente en los últimos cinco años para evaluar con mayor precisión los resultados de nuestra Continuidad de Atención del VIH e identificar mejor a las personas para servicios de intervención y reincorporación para el plan EHE.</w:t>
      </w:r>
    </w:p>
    <w:p w14:paraId="18D10286" w14:textId="77777777" w:rsidR="00A36BA5" w:rsidRPr="008270BA" w:rsidRDefault="00A36BA5">
      <w:pPr>
        <w:pStyle w:val="BodyText"/>
        <w:spacing w:before="2"/>
        <w:rPr>
          <w:w w:val="90"/>
          <w:sz w:val="22"/>
        </w:rPr>
      </w:pPr>
    </w:p>
    <w:p w14:paraId="255A9D48" w14:textId="77777777" w:rsidR="00A36BA5" w:rsidRPr="008270BA" w:rsidRDefault="008270BA">
      <w:pPr>
        <w:pStyle w:val="Heading3"/>
        <w:ind w:left="573" w:right="573"/>
        <w:jc w:val="center"/>
        <w:rPr>
          <w:w w:val="90"/>
        </w:rPr>
      </w:pPr>
      <w:r w:rsidRPr="008270BA">
        <w:rPr>
          <w:w w:val="90"/>
        </w:rPr>
        <w:t>Gráfico 3: Continuidad de Atención del VIH Modificada de Filadelfia, 2019*</w:t>
      </w:r>
    </w:p>
    <w:p w14:paraId="20509B64" w14:textId="5C3A706C" w:rsidR="00A36BA5" w:rsidRPr="008270BA" w:rsidRDefault="009D4B53">
      <w:pPr>
        <w:spacing w:before="103"/>
        <w:ind w:left="692"/>
        <w:rPr>
          <w:w w:val="90"/>
          <w:sz w:val="18"/>
        </w:rPr>
      </w:pPr>
      <w:r>
        <w:rPr>
          <w:noProof/>
          <w:w w:val="90"/>
        </w:rPr>
        <mc:AlternateContent>
          <mc:Choice Requires="wpg">
            <w:drawing>
              <wp:anchor distT="0" distB="0" distL="114300" distR="114300" simplePos="0" relativeHeight="15729664" behindDoc="0" locked="0" layoutInCell="1" allowOverlap="1" wp14:anchorId="6EA0C9BC" wp14:editId="2C6FE895">
                <wp:simplePos x="0" y="0"/>
                <wp:positionH relativeFrom="page">
                  <wp:posOffset>1560830</wp:posOffset>
                </wp:positionH>
                <wp:positionV relativeFrom="paragraph">
                  <wp:posOffset>63500</wp:posOffset>
                </wp:positionV>
                <wp:extent cx="5092700" cy="1251585"/>
                <wp:effectExtent l="0" t="0" r="0" b="0"/>
                <wp:wrapNone/>
                <wp:docPr id="40" name="237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0" cy="1251585"/>
                          <a:chOff x="2458" y="100"/>
                          <a:chExt cx="8020" cy="1971"/>
                        </a:xfrm>
                      </wpg:grpSpPr>
                      <wps:wsp>
                        <wps:cNvPr id="41" name="237769"/>
                        <wps:cNvSpPr>
                          <a:spLocks/>
                        </wps:cNvSpPr>
                        <wps:spPr bwMode="auto">
                          <a:xfrm>
                            <a:off x="3000" y="411"/>
                            <a:ext cx="6920" cy="1652"/>
                          </a:xfrm>
                          <a:custGeom>
                            <a:avLst/>
                            <a:gdLst>
                              <a:gd name="T0" fmla="+- 0 3520 3000"/>
                              <a:gd name="T1" fmla="*/ T0 w 6920"/>
                              <a:gd name="T2" fmla="+- 0 412 412"/>
                              <a:gd name="T3" fmla="*/ 412 h 1652"/>
                              <a:gd name="T4" fmla="+- 0 3000 3000"/>
                              <a:gd name="T5" fmla="*/ T4 w 6920"/>
                              <a:gd name="T6" fmla="+- 0 412 412"/>
                              <a:gd name="T7" fmla="*/ 412 h 1652"/>
                              <a:gd name="T8" fmla="+- 0 3000 3000"/>
                              <a:gd name="T9" fmla="*/ T8 w 6920"/>
                              <a:gd name="T10" fmla="+- 0 2063 412"/>
                              <a:gd name="T11" fmla="*/ 2063 h 1652"/>
                              <a:gd name="T12" fmla="+- 0 3520 3000"/>
                              <a:gd name="T13" fmla="*/ T12 w 6920"/>
                              <a:gd name="T14" fmla="+- 0 2063 412"/>
                              <a:gd name="T15" fmla="*/ 2063 h 1652"/>
                              <a:gd name="T16" fmla="+- 0 3520 3000"/>
                              <a:gd name="T17" fmla="*/ T16 w 6920"/>
                              <a:gd name="T18" fmla="+- 0 412 412"/>
                              <a:gd name="T19" fmla="*/ 412 h 1652"/>
                              <a:gd name="T20" fmla="+- 0 5120 3000"/>
                              <a:gd name="T21" fmla="*/ T20 w 6920"/>
                              <a:gd name="T22" fmla="+- 0 552 412"/>
                              <a:gd name="T23" fmla="*/ 552 h 1652"/>
                              <a:gd name="T24" fmla="+- 0 4620 3000"/>
                              <a:gd name="T25" fmla="*/ T24 w 6920"/>
                              <a:gd name="T26" fmla="+- 0 552 412"/>
                              <a:gd name="T27" fmla="*/ 552 h 1652"/>
                              <a:gd name="T28" fmla="+- 0 4620 3000"/>
                              <a:gd name="T29" fmla="*/ T28 w 6920"/>
                              <a:gd name="T30" fmla="+- 0 2063 412"/>
                              <a:gd name="T31" fmla="*/ 2063 h 1652"/>
                              <a:gd name="T32" fmla="+- 0 5120 3000"/>
                              <a:gd name="T33" fmla="*/ T32 w 6920"/>
                              <a:gd name="T34" fmla="+- 0 2063 412"/>
                              <a:gd name="T35" fmla="*/ 2063 h 1652"/>
                              <a:gd name="T36" fmla="+- 0 5120 3000"/>
                              <a:gd name="T37" fmla="*/ T36 w 6920"/>
                              <a:gd name="T38" fmla="+- 0 552 412"/>
                              <a:gd name="T39" fmla="*/ 552 h 1652"/>
                              <a:gd name="T40" fmla="+- 0 6720 3000"/>
                              <a:gd name="T41" fmla="*/ T40 w 6920"/>
                              <a:gd name="T42" fmla="+- 0 652 412"/>
                              <a:gd name="T43" fmla="*/ 652 h 1652"/>
                              <a:gd name="T44" fmla="+- 0 6220 3000"/>
                              <a:gd name="T45" fmla="*/ T44 w 6920"/>
                              <a:gd name="T46" fmla="+- 0 652 412"/>
                              <a:gd name="T47" fmla="*/ 652 h 1652"/>
                              <a:gd name="T48" fmla="+- 0 6220 3000"/>
                              <a:gd name="T49" fmla="*/ T48 w 6920"/>
                              <a:gd name="T50" fmla="+- 0 2063 412"/>
                              <a:gd name="T51" fmla="*/ 2063 h 1652"/>
                              <a:gd name="T52" fmla="+- 0 6720 3000"/>
                              <a:gd name="T53" fmla="*/ T52 w 6920"/>
                              <a:gd name="T54" fmla="+- 0 2063 412"/>
                              <a:gd name="T55" fmla="*/ 2063 h 1652"/>
                              <a:gd name="T56" fmla="+- 0 6720 3000"/>
                              <a:gd name="T57" fmla="*/ T56 w 6920"/>
                              <a:gd name="T58" fmla="+- 0 652 412"/>
                              <a:gd name="T59" fmla="*/ 652 h 1652"/>
                              <a:gd name="T60" fmla="+- 0 8320 3000"/>
                              <a:gd name="T61" fmla="*/ T60 w 6920"/>
                              <a:gd name="T62" fmla="+- 0 1072 412"/>
                              <a:gd name="T63" fmla="*/ 1072 h 1652"/>
                              <a:gd name="T64" fmla="+- 0 7820 3000"/>
                              <a:gd name="T65" fmla="*/ T64 w 6920"/>
                              <a:gd name="T66" fmla="+- 0 1072 412"/>
                              <a:gd name="T67" fmla="*/ 1072 h 1652"/>
                              <a:gd name="T68" fmla="+- 0 7820 3000"/>
                              <a:gd name="T69" fmla="*/ T68 w 6920"/>
                              <a:gd name="T70" fmla="+- 0 2063 412"/>
                              <a:gd name="T71" fmla="*/ 2063 h 1652"/>
                              <a:gd name="T72" fmla="+- 0 8320 3000"/>
                              <a:gd name="T73" fmla="*/ T72 w 6920"/>
                              <a:gd name="T74" fmla="+- 0 2063 412"/>
                              <a:gd name="T75" fmla="*/ 2063 h 1652"/>
                              <a:gd name="T76" fmla="+- 0 8320 3000"/>
                              <a:gd name="T77" fmla="*/ T76 w 6920"/>
                              <a:gd name="T78" fmla="+- 0 1072 412"/>
                              <a:gd name="T79" fmla="*/ 1072 h 1652"/>
                              <a:gd name="T80" fmla="+- 0 9920 3000"/>
                              <a:gd name="T81" fmla="*/ T80 w 6920"/>
                              <a:gd name="T82" fmla="+- 0 812 412"/>
                              <a:gd name="T83" fmla="*/ 812 h 1652"/>
                              <a:gd name="T84" fmla="+- 0 9420 3000"/>
                              <a:gd name="T85" fmla="*/ T84 w 6920"/>
                              <a:gd name="T86" fmla="+- 0 812 412"/>
                              <a:gd name="T87" fmla="*/ 812 h 1652"/>
                              <a:gd name="T88" fmla="+- 0 9420 3000"/>
                              <a:gd name="T89" fmla="*/ T88 w 6920"/>
                              <a:gd name="T90" fmla="+- 0 2063 412"/>
                              <a:gd name="T91" fmla="*/ 2063 h 1652"/>
                              <a:gd name="T92" fmla="+- 0 9920 3000"/>
                              <a:gd name="T93" fmla="*/ T92 w 6920"/>
                              <a:gd name="T94" fmla="+- 0 2063 412"/>
                              <a:gd name="T95" fmla="*/ 2063 h 1652"/>
                              <a:gd name="T96" fmla="+- 0 9920 3000"/>
                              <a:gd name="T97" fmla="*/ T96 w 6920"/>
                              <a:gd name="T98" fmla="+- 0 812 412"/>
                              <a:gd name="T99" fmla="*/ 812 h 1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920" h="1652">
                                <a:moveTo>
                                  <a:pt x="520" y="0"/>
                                </a:moveTo>
                                <a:lnTo>
                                  <a:pt x="0" y="0"/>
                                </a:lnTo>
                                <a:lnTo>
                                  <a:pt x="0" y="1651"/>
                                </a:lnTo>
                                <a:lnTo>
                                  <a:pt x="520" y="1651"/>
                                </a:lnTo>
                                <a:lnTo>
                                  <a:pt x="520" y="0"/>
                                </a:lnTo>
                                <a:close/>
                                <a:moveTo>
                                  <a:pt x="2120" y="140"/>
                                </a:moveTo>
                                <a:lnTo>
                                  <a:pt x="1620" y="140"/>
                                </a:lnTo>
                                <a:lnTo>
                                  <a:pt x="1620" y="1651"/>
                                </a:lnTo>
                                <a:lnTo>
                                  <a:pt x="2120" y="1651"/>
                                </a:lnTo>
                                <a:lnTo>
                                  <a:pt x="2120" y="140"/>
                                </a:lnTo>
                                <a:close/>
                                <a:moveTo>
                                  <a:pt x="3720" y="240"/>
                                </a:moveTo>
                                <a:lnTo>
                                  <a:pt x="3220" y="240"/>
                                </a:lnTo>
                                <a:lnTo>
                                  <a:pt x="3220" y="1651"/>
                                </a:lnTo>
                                <a:lnTo>
                                  <a:pt x="3720" y="1651"/>
                                </a:lnTo>
                                <a:lnTo>
                                  <a:pt x="3720" y="240"/>
                                </a:lnTo>
                                <a:close/>
                                <a:moveTo>
                                  <a:pt x="5320" y="660"/>
                                </a:moveTo>
                                <a:lnTo>
                                  <a:pt x="4820" y="660"/>
                                </a:lnTo>
                                <a:lnTo>
                                  <a:pt x="4820" y="1651"/>
                                </a:lnTo>
                                <a:lnTo>
                                  <a:pt x="5320" y="1651"/>
                                </a:lnTo>
                                <a:lnTo>
                                  <a:pt x="5320" y="660"/>
                                </a:lnTo>
                                <a:close/>
                                <a:moveTo>
                                  <a:pt x="6920" y="400"/>
                                </a:moveTo>
                                <a:lnTo>
                                  <a:pt x="6420" y="400"/>
                                </a:lnTo>
                                <a:lnTo>
                                  <a:pt x="6420" y="1651"/>
                                </a:lnTo>
                                <a:lnTo>
                                  <a:pt x="6920" y="1651"/>
                                </a:lnTo>
                                <a:lnTo>
                                  <a:pt x="6920" y="40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238245"/>
                        <wps:cNvCnPr>
                          <a:cxnSpLocks noChangeShapeType="1"/>
                        </wps:cNvCnPr>
                        <wps:spPr bwMode="auto">
                          <a:xfrm>
                            <a:off x="2458" y="2063"/>
                            <a:ext cx="8020" cy="0"/>
                          </a:xfrm>
                          <a:prstGeom prst="line">
                            <a:avLst/>
                          </a:prstGeom>
                          <a:noFill/>
                          <a:ln w="9525">
                            <a:solidFill>
                              <a:srgbClr val="D9D9D9"/>
                            </a:solidFill>
                            <a:round/>
                            <a:headEnd/>
                            <a:tailEnd/>
                          </a:ln>
                          <a:extLst>
                            <a:ext uri="{909E8E84-426E-40DD-AFC4-6F175D3DCCD1}">
                              <a14:hiddenFill xmlns:a14="http://schemas.microsoft.com/office/drawing/2010/main">
                                <a:noFill/>
                              </a14:hiddenFill>
                            </a:ext>
                          </a:extLst>
                        </wps:spPr>
                        <wps:bodyPr/>
                      </wps:wsp>
                      <wps:wsp>
                        <wps:cNvPr id="43" name="238408"/>
                        <wps:cNvSpPr txBox="1">
                          <a:spLocks noChangeArrowheads="1"/>
                        </wps:cNvSpPr>
                        <wps:spPr bwMode="auto">
                          <a:xfrm>
                            <a:off x="3036" y="100"/>
                            <a:ext cx="46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74421" w14:textId="77777777" w:rsidR="008270BA" w:rsidRDefault="008270BA">
                              <w:pPr>
                                <w:spacing w:before="2"/>
                                <w:rPr>
                                  <w:sz w:val="18"/>
                                </w:rPr>
                              </w:pPr>
                              <w:r>
                                <w:rPr>
                                  <w:color w:val="404040"/>
                                  <w:sz w:val="18"/>
                                </w:rPr>
                                <w:t>89.7%</w:t>
                              </w:r>
                            </w:p>
                          </w:txbxContent>
                        </wps:txbx>
                        <wps:bodyPr rot="0" vert="horz" wrap="square" lIns="0" tIns="0" rIns="0" bIns="0" anchor="t" anchorCtr="0" upright="1">
                          <a:noAutofit/>
                        </wps:bodyPr>
                      </wps:wsp>
                      <wps:wsp>
                        <wps:cNvPr id="44" name="238889"/>
                        <wps:cNvSpPr txBox="1">
                          <a:spLocks noChangeArrowheads="1"/>
                        </wps:cNvSpPr>
                        <wps:spPr bwMode="auto">
                          <a:xfrm>
                            <a:off x="4640" y="260"/>
                            <a:ext cx="46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67441" w14:textId="77777777" w:rsidR="008270BA" w:rsidRDefault="008270BA">
                              <w:pPr>
                                <w:spacing w:before="2"/>
                                <w:rPr>
                                  <w:sz w:val="18"/>
                                </w:rPr>
                              </w:pPr>
                              <w:r>
                                <w:rPr>
                                  <w:color w:val="404040"/>
                                  <w:sz w:val="18"/>
                                </w:rPr>
                                <w:t>81.3%</w:t>
                              </w:r>
                            </w:p>
                          </w:txbxContent>
                        </wps:txbx>
                        <wps:bodyPr rot="0" vert="horz" wrap="square" lIns="0" tIns="0" rIns="0" bIns="0" anchor="t" anchorCtr="0" upright="1">
                          <a:noAutofit/>
                        </wps:bodyPr>
                      </wps:wsp>
                      <wps:wsp>
                        <wps:cNvPr id="45" name="239370"/>
                        <wps:cNvSpPr txBox="1">
                          <a:spLocks noChangeArrowheads="1"/>
                        </wps:cNvSpPr>
                        <wps:spPr bwMode="auto">
                          <a:xfrm>
                            <a:off x="6244" y="340"/>
                            <a:ext cx="46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8341" w14:textId="77777777" w:rsidR="008270BA" w:rsidRDefault="008270BA">
                              <w:pPr>
                                <w:spacing w:before="2"/>
                                <w:rPr>
                                  <w:sz w:val="18"/>
                                </w:rPr>
                              </w:pPr>
                              <w:r>
                                <w:rPr>
                                  <w:color w:val="404040"/>
                                  <w:sz w:val="18"/>
                                </w:rPr>
                                <w:t>76.8%</w:t>
                              </w:r>
                            </w:p>
                          </w:txbxContent>
                        </wps:txbx>
                        <wps:bodyPr rot="0" vert="horz" wrap="square" lIns="0" tIns="0" rIns="0" bIns="0" anchor="t" anchorCtr="0" upright="1">
                          <a:noAutofit/>
                        </wps:bodyPr>
                      </wps:wsp>
                      <wps:wsp>
                        <wps:cNvPr id="46" name="239851"/>
                        <wps:cNvSpPr txBox="1">
                          <a:spLocks noChangeArrowheads="1"/>
                        </wps:cNvSpPr>
                        <wps:spPr bwMode="auto">
                          <a:xfrm>
                            <a:off x="9451" y="520"/>
                            <a:ext cx="46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9F657" w14:textId="77777777" w:rsidR="008270BA" w:rsidRDefault="008270BA">
                              <w:pPr>
                                <w:spacing w:before="2"/>
                                <w:rPr>
                                  <w:sz w:val="18"/>
                                </w:rPr>
                              </w:pPr>
                              <w:r>
                                <w:rPr>
                                  <w:color w:val="404040"/>
                                  <w:sz w:val="18"/>
                                </w:rPr>
                                <w:t>67.4%</w:t>
                              </w:r>
                            </w:p>
                          </w:txbxContent>
                        </wps:txbx>
                        <wps:bodyPr rot="0" vert="horz" wrap="square" lIns="0" tIns="0" rIns="0" bIns="0" anchor="t" anchorCtr="0" upright="1">
                          <a:noAutofit/>
                        </wps:bodyPr>
                      </wps:wsp>
                      <wps:wsp>
                        <wps:cNvPr id="47" name="240332"/>
                        <wps:cNvSpPr txBox="1">
                          <a:spLocks noChangeArrowheads="1"/>
                        </wps:cNvSpPr>
                        <wps:spPr bwMode="auto">
                          <a:xfrm>
                            <a:off x="7847" y="780"/>
                            <a:ext cx="46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07492" w14:textId="77777777" w:rsidR="008270BA" w:rsidRDefault="008270BA">
                              <w:pPr>
                                <w:spacing w:before="2"/>
                                <w:rPr>
                                  <w:sz w:val="18"/>
                                </w:rPr>
                              </w:pPr>
                              <w:r>
                                <w:rPr>
                                  <w:color w:val="404040"/>
                                  <w:sz w:val="18"/>
                                </w:rPr>
                                <w:t>53.2%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0C9BC" id="237519" o:spid="_x0000_s1030" style="position:absolute;left:0;text-align:left;margin-left:122.9pt;margin-top:5pt;width:401pt;height:98.55pt;z-index:15729664;mso-position-horizontal-relative:page" coordorigin="2458,100" coordsize="8020,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">
                <v:shape id="237769" o:spid="_x0000_s1031" style="position:absolute;left:3000;top:411;width:6920;height:1652;visibility:visible;mso-wrap-style:square;v-text-anchor:top" coordsize="6920,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" path="m520,l,,,1651r520,l520,xm2120,140r-500,l1620,1651r500,l2120,140xm3720,240r-500,l3220,1651r500,l3720,240xm5320,660r-500,l4820,1651r500,l5320,660xm6920,400r-500,l6420,1651r500,l6920,400xe" fillcolor="#4f81bd" stroked="f">
                  <v:path arrowok="t" o:connecttype="custom" o:connectlocs="520,412;0,412;0,2063;520,2063;520,412;2120,552;1620,552;1620,2063;2120,2063;2120,552;3720,652;3220,652;3220,2063;3720,2063;3720,652;5320,1072;4820,1072;4820,2063;5320,2063;5320,1072;6920,812;6420,812;6420,2063;6920,2063;6920,812" o:connectangles="0,0,0,0,0,0,0,0,0,0,0,0,0,0,0,0,0,0,0,0,0,0,0,0,0"/>
                </v:shape>
                <v:line id="238245" o:spid="_x0000_s1032" style="position:absolute;visibility:visible;mso-wrap-style:square" from="2458,2063" to="10478,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" strokecolor="#d9d9d9"/>
                <v:shape id="238408" o:spid="_x0000_s1033" type="#_x0000_t202" style="position:absolute;left:3036;top:100;width:46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45F74421" w14:textId="77777777" w:rsidR="008270BA" w:rsidRDefault="008270BA">
                        <w:pPr>
                          <w:spacing w:before="2"/>
                          <w:rPr>
                            <w:sz w:val="18"/>
                          </w:rPr>
                        </w:pPr>
                        <w:r>
                          <w:rPr>
                            <w:color w:val="404040"/>
                            <w:sz w:val="18"/>
                          </w:rPr>
                          <w:t>89.7%</w:t>
                        </w:r>
                      </w:p>
                    </w:txbxContent>
                  </v:textbox>
                </v:shape>
                <v:shape id="238889" o:spid="_x0000_s1034" type="#_x0000_t202" style="position:absolute;left:4640;top:260;width:46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4D967441" w14:textId="77777777" w:rsidR="008270BA" w:rsidRDefault="008270BA">
                        <w:pPr>
                          <w:spacing w:before="2"/>
                          <w:rPr>
                            <w:sz w:val="18"/>
                          </w:rPr>
                        </w:pPr>
                        <w:r>
                          <w:rPr>
                            <w:color w:val="404040"/>
                            <w:sz w:val="18"/>
                          </w:rPr>
                          <w:t>81.3%</w:t>
                        </w:r>
                      </w:p>
                    </w:txbxContent>
                  </v:textbox>
                </v:shape>
                <v:shape id="239370" o:spid="_x0000_s1035" type="#_x0000_t202" style="position:absolute;left:6244;top:340;width:46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5A3F8341" w14:textId="77777777" w:rsidR="008270BA" w:rsidRDefault="008270BA">
                        <w:pPr>
                          <w:spacing w:before="2"/>
                          <w:rPr>
                            <w:sz w:val="18"/>
                          </w:rPr>
                        </w:pPr>
                        <w:r>
                          <w:rPr>
                            <w:color w:val="404040"/>
                            <w:sz w:val="18"/>
                          </w:rPr>
                          <w:t>76.8%</w:t>
                        </w:r>
                      </w:p>
                    </w:txbxContent>
                  </v:textbox>
                </v:shape>
                <v:shape id="239851" o:spid="_x0000_s1036" type="#_x0000_t202" style="position:absolute;left:9451;top:520;width:46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4DC9F657" w14:textId="77777777" w:rsidR="008270BA" w:rsidRDefault="008270BA">
                        <w:pPr>
                          <w:spacing w:before="2"/>
                          <w:rPr>
                            <w:sz w:val="18"/>
                          </w:rPr>
                        </w:pPr>
                        <w:r>
                          <w:rPr>
                            <w:color w:val="404040"/>
                            <w:sz w:val="18"/>
                          </w:rPr>
                          <w:t>67.4%</w:t>
                        </w:r>
                      </w:p>
                    </w:txbxContent>
                  </v:textbox>
                </v:shape>
                <v:shape id="240332" o:spid="_x0000_s1037" type="#_x0000_t202" style="position:absolute;left:7847;top:780;width:46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04C07492" w14:textId="77777777" w:rsidR="008270BA" w:rsidRDefault="008270BA">
                        <w:pPr>
                          <w:spacing w:before="2"/>
                          <w:rPr>
                            <w:sz w:val="18"/>
                          </w:rPr>
                        </w:pPr>
                        <w:r>
                          <w:rPr>
                            <w:color w:val="404040"/>
                            <w:sz w:val="18"/>
                          </w:rPr>
                          <w:t>53.2%</w:t>
                        </w:r>
                      </w:p>
                    </w:txbxContent>
                  </v:textbox>
                </v:shape>
                <w10:wrap anchorx="page"/>
              </v:group>
            </w:pict>
          </mc:Fallback>
        </mc:AlternateContent>
      </w:r>
      <w:r w:rsidR="008270BA" w:rsidRPr="008270BA">
        <w:rPr>
          <w:color w:val="595959"/>
          <w:w w:val="90"/>
          <w:sz w:val="18"/>
        </w:rPr>
        <w:t>100.0%</w:t>
      </w:r>
    </w:p>
    <w:p w14:paraId="4F6602B3" w14:textId="77777777" w:rsidR="00A36BA5" w:rsidRPr="008270BA" w:rsidRDefault="008270BA">
      <w:pPr>
        <w:spacing w:before="153"/>
        <w:ind w:left="783"/>
        <w:rPr>
          <w:w w:val="90"/>
          <w:sz w:val="18"/>
        </w:rPr>
      </w:pPr>
      <w:r w:rsidRPr="008270BA">
        <w:rPr>
          <w:color w:val="595959"/>
          <w:w w:val="90"/>
          <w:sz w:val="18"/>
        </w:rPr>
        <w:t>80.0%</w:t>
      </w:r>
    </w:p>
    <w:p w14:paraId="17826FC9" w14:textId="77777777" w:rsidR="00A36BA5" w:rsidRPr="008270BA" w:rsidRDefault="008270BA">
      <w:pPr>
        <w:spacing w:before="173"/>
        <w:ind w:left="783"/>
        <w:rPr>
          <w:w w:val="90"/>
          <w:sz w:val="18"/>
        </w:rPr>
      </w:pPr>
      <w:r w:rsidRPr="008270BA">
        <w:rPr>
          <w:color w:val="595959"/>
          <w:w w:val="90"/>
          <w:sz w:val="18"/>
        </w:rPr>
        <w:t>60.0%</w:t>
      </w:r>
    </w:p>
    <w:p w14:paraId="020734EF" w14:textId="77777777" w:rsidR="00A36BA5" w:rsidRPr="008270BA" w:rsidRDefault="008270BA">
      <w:pPr>
        <w:spacing w:before="153"/>
        <w:ind w:left="783"/>
        <w:rPr>
          <w:w w:val="90"/>
          <w:sz w:val="18"/>
        </w:rPr>
      </w:pPr>
      <w:r w:rsidRPr="008270BA">
        <w:rPr>
          <w:color w:val="595959"/>
          <w:w w:val="90"/>
          <w:sz w:val="18"/>
        </w:rPr>
        <w:t>40.0%</w:t>
      </w:r>
    </w:p>
    <w:p w14:paraId="6986702A" w14:textId="77777777" w:rsidR="00A36BA5" w:rsidRPr="008270BA" w:rsidRDefault="008270BA">
      <w:pPr>
        <w:spacing w:before="173"/>
        <w:ind w:left="783"/>
        <w:rPr>
          <w:w w:val="90"/>
          <w:sz w:val="18"/>
        </w:rPr>
      </w:pPr>
      <w:r w:rsidRPr="008270BA">
        <w:rPr>
          <w:color w:val="595959"/>
          <w:w w:val="90"/>
          <w:sz w:val="18"/>
        </w:rPr>
        <w:t>20.0%</w:t>
      </w:r>
    </w:p>
    <w:p w14:paraId="6589F611" w14:textId="77777777" w:rsidR="00A36BA5" w:rsidRPr="008270BA" w:rsidRDefault="008270BA">
      <w:pPr>
        <w:spacing w:before="153"/>
        <w:ind w:left="874"/>
        <w:rPr>
          <w:w w:val="90"/>
          <w:sz w:val="18"/>
        </w:rPr>
      </w:pPr>
      <w:r w:rsidRPr="008270BA">
        <w:rPr>
          <w:color w:val="595959"/>
          <w:w w:val="90"/>
          <w:sz w:val="18"/>
        </w:rPr>
        <w:t>0.0%</w:t>
      </w:r>
    </w:p>
    <w:p w14:paraId="78B1CFDA" w14:textId="77777777" w:rsidR="00A36BA5" w:rsidRPr="008270BA" w:rsidRDefault="008270BA">
      <w:pPr>
        <w:tabs>
          <w:tab w:val="left" w:pos="3279"/>
          <w:tab w:val="left" w:pos="5150"/>
          <w:tab w:val="left" w:pos="6408"/>
          <w:tab w:val="left" w:pos="8006"/>
        </w:tabs>
        <w:spacing w:before="33"/>
        <w:ind w:left="1483"/>
        <w:rPr>
          <w:w w:val="90"/>
          <w:sz w:val="18"/>
        </w:rPr>
      </w:pPr>
      <w:r w:rsidRPr="008270BA">
        <w:rPr>
          <w:color w:val="595959"/>
          <w:w w:val="90"/>
          <w:sz w:val="18"/>
        </w:rPr>
        <w:t>Diagnosticado con VIH</w:t>
      </w:r>
      <w:r w:rsidRPr="008270BA">
        <w:rPr>
          <w:color w:val="595959"/>
          <w:w w:val="90"/>
          <w:sz w:val="18"/>
        </w:rPr>
        <w:tab/>
        <w:t>Conectado a la atención</w:t>
      </w:r>
      <w:r w:rsidRPr="008270BA">
        <w:rPr>
          <w:color w:val="595959"/>
          <w:w w:val="90"/>
          <w:sz w:val="18"/>
        </w:rPr>
        <w:tab/>
        <w:t>Recibiendo atención</w:t>
      </w:r>
      <w:r>
        <w:rPr>
          <w:color w:val="595959"/>
          <w:w w:val="90"/>
          <w:sz w:val="18"/>
        </w:rPr>
        <w:t xml:space="preserve"> </w:t>
      </w:r>
      <w:r w:rsidRPr="008270BA">
        <w:rPr>
          <w:color w:val="595959"/>
          <w:w w:val="90"/>
          <w:sz w:val="18"/>
        </w:rPr>
        <w:t>Retenido en la atención</w:t>
      </w:r>
      <w:r>
        <w:rPr>
          <w:color w:val="595959"/>
          <w:w w:val="90"/>
          <w:sz w:val="18"/>
        </w:rPr>
        <w:t xml:space="preserve"> </w:t>
      </w:r>
      <w:r w:rsidRPr="008270BA">
        <w:rPr>
          <w:color w:val="595959"/>
          <w:w w:val="90"/>
          <w:sz w:val="18"/>
        </w:rPr>
        <w:t>Carga viral</w:t>
      </w:r>
    </w:p>
    <w:p w14:paraId="587FCAB1" w14:textId="77777777" w:rsidR="00A36BA5" w:rsidRPr="008270BA" w:rsidRDefault="008270BA">
      <w:pPr>
        <w:spacing w:before="13"/>
        <w:ind w:left="8439"/>
        <w:rPr>
          <w:w w:val="90"/>
          <w:sz w:val="18"/>
        </w:rPr>
      </w:pPr>
      <w:r w:rsidRPr="008270BA">
        <w:rPr>
          <w:color w:val="595959"/>
          <w:w w:val="90"/>
          <w:sz w:val="18"/>
        </w:rPr>
        <w:t>suprimida</w:t>
      </w:r>
    </w:p>
    <w:p w14:paraId="398FC2BD" w14:textId="48572E5C" w:rsidR="00A36BA5" w:rsidRPr="008270BA" w:rsidRDefault="009D4B53">
      <w:pPr>
        <w:spacing w:before="193"/>
        <w:ind w:left="573" w:right="353"/>
        <w:jc w:val="center"/>
        <w:rPr>
          <w:w w:val="90"/>
          <w:sz w:val="18"/>
        </w:rPr>
      </w:pPr>
      <w:r>
        <w:rPr>
          <w:noProof/>
          <w:w w:val="90"/>
        </w:rPr>
        <mc:AlternateContent>
          <mc:Choice Requires="wps">
            <w:drawing>
              <wp:anchor distT="0" distB="0" distL="114300" distR="114300" simplePos="0" relativeHeight="15730176" behindDoc="0" locked="0" layoutInCell="1" allowOverlap="1" wp14:anchorId="29681E52" wp14:editId="6F270E29">
                <wp:simplePos x="0" y="0"/>
                <wp:positionH relativeFrom="page">
                  <wp:posOffset>3604260</wp:posOffset>
                </wp:positionH>
                <wp:positionV relativeFrom="paragraph">
                  <wp:posOffset>162560</wp:posOffset>
                </wp:positionV>
                <wp:extent cx="62865" cy="62865"/>
                <wp:effectExtent l="0" t="0" r="0" b="0"/>
                <wp:wrapNone/>
                <wp:docPr id="39" name="245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628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0EA2E" id="245135" o:spid="_x0000_s1026" style="position:absolute;margin-left:283.8pt;margin-top:12.8pt;width:4.95pt;height:4.9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" fillcolor="#4f81bd" stroked="f">
                <w10:wrap anchorx="page"/>
              </v:rect>
            </w:pict>
          </mc:Fallback>
        </mc:AlternateContent>
      </w:r>
      <w:r w:rsidR="008270BA" w:rsidRPr="008270BA">
        <w:rPr>
          <w:color w:val="595959"/>
          <w:w w:val="90"/>
          <w:sz w:val="18"/>
        </w:rPr>
        <w:t>Filadelfia</w:t>
      </w:r>
    </w:p>
    <w:p w14:paraId="5B2EAFB7" w14:textId="77777777" w:rsidR="00A36BA5" w:rsidRPr="008270BA" w:rsidRDefault="008270BA">
      <w:pPr>
        <w:spacing w:before="197"/>
        <w:ind w:left="571"/>
        <w:rPr>
          <w:i/>
          <w:w w:val="90"/>
          <w:sz w:val="24"/>
        </w:rPr>
      </w:pPr>
      <w:r w:rsidRPr="008270BA">
        <w:rPr>
          <w:i/>
          <w:w w:val="90"/>
          <w:sz w:val="24"/>
        </w:rPr>
        <w:t>*Puede encontrar la definición de cada etapa de la Continuidad de Atención del VIH Modificada en el Apéndice C.</w:t>
      </w:r>
    </w:p>
    <w:p w14:paraId="2917DE44" w14:textId="77777777" w:rsidR="00A36BA5" w:rsidRPr="008270BA" w:rsidRDefault="00A36BA5">
      <w:pPr>
        <w:pStyle w:val="BodyText"/>
        <w:spacing w:before="4"/>
        <w:rPr>
          <w:i/>
          <w:w w:val="90"/>
          <w:sz w:val="26"/>
        </w:rPr>
      </w:pPr>
    </w:p>
    <w:p w14:paraId="13B6A7EE" w14:textId="77777777" w:rsidR="00A36BA5" w:rsidRPr="008270BA" w:rsidRDefault="008270BA">
      <w:pPr>
        <w:pStyle w:val="ListParagraph"/>
        <w:numPr>
          <w:ilvl w:val="0"/>
          <w:numId w:val="7"/>
        </w:numPr>
        <w:tabs>
          <w:tab w:val="left" w:pos="628"/>
        </w:tabs>
        <w:spacing w:before="1" w:line="247" w:lineRule="auto"/>
        <w:ind w:right="498" w:hanging="360"/>
        <w:rPr>
          <w:rFonts w:ascii="Symbol" w:hAnsi="Symbol"/>
          <w:color w:val="201F1E"/>
          <w:w w:val="90"/>
          <w:sz w:val="20"/>
        </w:rPr>
      </w:pPr>
      <w:r w:rsidRPr="008270BA">
        <w:rPr>
          <w:color w:val="201F1E"/>
          <w:w w:val="90"/>
          <w:sz w:val="24"/>
        </w:rPr>
        <w:t xml:space="preserve">Hay casi 4,000 PLWH con una última dirección residencial conocida en Filadelfia que no han recibido atención en los últimos cinco años. Es probable que estas personas hayan fallecido o ya no vivan en Filadelfia y estén excluidas de la </w:t>
      </w:r>
      <w:r w:rsidRPr="008270BA">
        <w:rPr>
          <w:i/>
          <w:color w:val="201F1E"/>
          <w:w w:val="90"/>
          <w:sz w:val="24"/>
        </w:rPr>
        <w:t>Continuidad de Atención del VIH Modificada</w:t>
      </w:r>
      <w:r w:rsidRPr="008270BA">
        <w:rPr>
          <w:color w:val="201F1E"/>
          <w:w w:val="90"/>
          <w:sz w:val="24"/>
        </w:rPr>
        <w:t>.</w:t>
      </w:r>
    </w:p>
    <w:p w14:paraId="6155050A" w14:textId="77777777" w:rsidR="00A36BA5" w:rsidRPr="008270BA" w:rsidRDefault="008270BA">
      <w:pPr>
        <w:pStyle w:val="ListParagraph"/>
        <w:numPr>
          <w:ilvl w:val="0"/>
          <w:numId w:val="7"/>
        </w:numPr>
        <w:tabs>
          <w:tab w:val="left" w:pos="628"/>
        </w:tabs>
        <w:spacing w:before="18" w:line="249" w:lineRule="auto"/>
        <w:ind w:right="220" w:hanging="360"/>
        <w:rPr>
          <w:rFonts w:ascii="Symbol" w:hAnsi="Symbol"/>
          <w:color w:val="201F1E"/>
          <w:w w:val="90"/>
          <w:sz w:val="20"/>
        </w:rPr>
      </w:pPr>
      <w:r w:rsidRPr="008270BA">
        <w:rPr>
          <w:color w:val="201F1E"/>
          <w:w w:val="90"/>
          <w:sz w:val="24"/>
        </w:rPr>
        <w:t xml:space="preserve">Como se muestra en la Continuidad de Atención del VIH Modificada, más del 81% de las personas recién diagnosticadas con VIH en 2019 fueron conectadas a la atención dentro de los 30 días (consulte el </w:t>
      </w:r>
      <w:r w:rsidRPr="008270BA">
        <w:rPr>
          <w:i/>
          <w:color w:val="201F1E"/>
          <w:w w:val="90"/>
          <w:sz w:val="24"/>
        </w:rPr>
        <w:t>Apéndice C</w:t>
      </w:r>
      <w:r w:rsidRPr="008270BA">
        <w:rPr>
          <w:color w:val="201F1E"/>
          <w:w w:val="90"/>
          <w:sz w:val="24"/>
        </w:rPr>
        <w:t xml:space="preserve"> para encontrar la definición de conexión a atención). Estas tasas fueron más bajas para PWID, MSM negros y personas entre los 25 y los 54 años. Se observaron desigualdades entre las PWID y las personas transgénero, con el 76% y el 67% conectadas a la atención en 30 días, respectivamente (ver tablas adjuntas).</w:t>
      </w:r>
    </w:p>
    <w:p w14:paraId="15AF3796" w14:textId="77777777" w:rsidR="00A36BA5" w:rsidRPr="008270BA" w:rsidRDefault="008270BA">
      <w:pPr>
        <w:pStyle w:val="ListParagraph"/>
        <w:numPr>
          <w:ilvl w:val="0"/>
          <w:numId w:val="7"/>
        </w:numPr>
        <w:tabs>
          <w:tab w:val="left" w:pos="628"/>
        </w:tabs>
        <w:spacing w:before="16" w:line="252" w:lineRule="auto"/>
        <w:ind w:right="131" w:hanging="360"/>
        <w:rPr>
          <w:rFonts w:ascii="Symbol" w:hAnsi="Symbol"/>
          <w:i/>
          <w:color w:val="201F1E"/>
          <w:w w:val="90"/>
          <w:sz w:val="20"/>
        </w:rPr>
      </w:pPr>
      <w:r w:rsidRPr="008270BA">
        <w:rPr>
          <w:color w:val="201F1E"/>
          <w:w w:val="90"/>
          <w:sz w:val="24"/>
        </w:rPr>
        <w:t xml:space="preserve">En Filadelfia, el mayor obstáculo para poner fin a la epidemia de VIH es una pésima retención en la atención (consultar el </w:t>
      </w:r>
      <w:r w:rsidRPr="008270BA">
        <w:rPr>
          <w:i/>
          <w:color w:val="201F1E"/>
          <w:w w:val="90"/>
          <w:sz w:val="24"/>
        </w:rPr>
        <w:t>Apéndice C</w:t>
      </w:r>
      <w:r w:rsidRPr="008270BA">
        <w:rPr>
          <w:color w:val="201F1E"/>
          <w:w w:val="90"/>
          <w:sz w:val="24"/>
        </w:rPr>
        <w:t xml:space="preserve">), específicamente entre personas que no están viralmente suprimidas. 2,125 PLWH que tuvieron evidencia de atención en los últimos cinco años no </w:t>
      </w:r>
      <w:r w:rsidRPr="008270BA">
        <w:rPr>
          <w:color w:val="201F1E"/>
          <w:w w:val="90"/>
          <w:sz w:val="24"/>
        </w:rPr>
        <w:lastRenderedPageBreak/>
        <w:t xml:space="preserve">estaban recibiendo atención en 2019 en Filadelfia. En 2019, estas personas representaron el 36% de las transmisiones de VIH en Filadelfia. Hay desigualdades en la retención entre grupos demográficos y de riesgo de transmisión, que se presentan en el </w:t>
      </w:r>
      <w:r w:rsidRPr="008270BA">
        <w:rPr>
          <w:i/>
          <w:color w:val="201F1E"/>
          <w:w w:val="90"/>
          <w:sz w:val="24"/>
        </w:rPr>
        <w:t>Apéndice B</w:t>
      </w:r>
      <w:r w:rsidRPr="008270BA">
        <w:rPr>
          <w:color w:val="201F1E"/>
          <w:w w:val="90"/>
          <w:sz w:val="24"/>
        </w:rPr>
        <w:t>.</w:t>
      </w:r>
    </w:p>
    <w:p w14:paraId="7DF43EFE" w14:textId="77777777" w:rsidR="00A36BA5" w:rsidRPr="008270BA" w:rsidRDefault="008270BA">
      <w:pPr>
        <w:pStyle w:val="ListParagraph"/>
        <w:numPr>
          <w:ilvl w:val="0"/>
          <w:numId w:val="7"/>
        </w:numPr>
        <w:tabs>
          <w:tab w:val="left" w:pos="628"/>
        </w:tabs>
        <w:spacing w:before="114" w:line="252" w:lineRule="auto"/>
        <w:ind w:right="606" w:hanging="360"/>
        <w:rPr>
          <w:rFonts w:ascii="Symbol" w:hAnsi="Symbol"/>
          <w:color w:val="201F1E"/>
          <w:w w:val="90"/>
          <w:sz w:val="20"/>
        </w:rPr>
      </w:pPr>
      <w:r w:rsidRPr="008270BA">
        <w:rPr>
          <w:color w:val="201F1E"/>
          <w:w w:val="90"/>
          <w:sz w:val="24"/>
        </w:rPr>
        <w:t>Además, 1 de cada 10 PLWH adicionales en 2019 estaban recibiendo atención pero no estaban viralmente suprimidas (consulte el Apéndice C). En 2019, estas personas representaron el 25% de las transmisiones de VIH en Filadelfia.</w:t>
      </w:r>
    </w:p>
    <w:p w14:paraId="1E219DBF" w14:textId="77777777" w:rsidR="00A36BA5" w:rsidRPr="008270BA" w:rsidRDefault="00A36BA5">
      <w:pPr>
        <w:pStyle w:val="BodyText"/>
        <w:spacing w:before="1"/>
        <w:rPr>
          <w:w w:val="90"/>
          <w:sz w:val="22"/>
        </w:rPr>
      </w:pPr>
    </w:p>
    <w:p w14:paraId="0AAD6B73" w14:textId="77777777" w:rsidR="00A36BA5" w:rsidRPr="008270BA" w:rsidRDefault="008270BA">
      <w:pPr>
        <w:pStyle w:val="Heading2"/>
        <w:spacing w:before="0"/>
        <w:rPr>
          <w:w w:val="90"/>
        </w:rPr>
      </w:pPr>
      <w:bookmarkStart w:id="3" w:name="_TOC_250021"/>
      <w:r w:rsidRPr="008270BA">
        <w:rPr>
          <w:w w:val="90"/>
        </w:rPr>
        <w:t xml:space="preserve">Pilar tres: </w:t>
      </w:r>
      <w:bookmarkEnd w:id="3"/>
      <w:r w:rsidRPr="008270BA">
        <w:rPr>
          <w:w w:val="90"/>
        </w:rPr>
        <w:t>Prevenir</w:t>
      </w:r>
    </w:p>
    <w:p w14:paraId="39FFE40F" w14:textId="77777777" w:rsidR="00A36BA5" w:rsidRPr="008270BA" w:rsidRDefault="00A36BA5">
      <w:pPr>
        <w:pStyle w:val="BodyText"/>
        <w:spacing w:before="2"/>
        <w:rPr>
          <w:w w:val="90"/>
          <w:sz w:val="29"/>
        </w:rPr>
      </w:pPr>
    </w:p>
    <w:p w14:paraId="28DCDFA7" w14:textId="77777777" w:rsidR="00A36BA5" w:rsidRPr="008270BA" w:rsidRDefault="008270BA">
      <w:pPr>
        <w:pStyle w:val="BodyText"/>
        <w:spacing w:line="252" w:lineRule="auto"/>
        <w:ind w:left="120" w:right="344"/>
        <w:rPr>
          <w:w w:val="90"/>
        </w:rPr>
      </w:pPr>
      <w:r w:rsidRPr="008270BA">
        <w:rPr>
          <w:w w:val="90"/>
        </w:rPr>
        <w:t>Se estima que hay 310,480 personas en Filadelfia que corren riesgo de contraer VIH (Gráfico 4). De estas, 13,960 tienen una indicación de profilaxis previa a la exposición (PrEP). La mayor cantidad y proporción total de personas con una indicación de PrEP se encuentra entre los MSM (</w:t>
      </w:r>
      <w:r w:rsidRPr="008270BA">
        <w:rPr>
          <w:i/>
          <w:w w:val="90"/>
        </w:rPr>
        <w:t>Gráfico 4</w:t>
      </w:r>
      <w:r w:rsidRPr="008270BA">
        <w:rPr>
          <w:w w:val="90"/>
        </w:rPr>
        <w:t>).</w:t>
      </w:r>
    </w:p>
    <w:p w14:paraId="3C7CD918" w14:textId="77777777" w:rsidR="00A36BA5" w:rsidRPr="008270BA" w:rsidRDefault="00A36BA5">
      <w:pPr>
        <w:pStyle w:val="BodyText"/>
        <w:spacing w:before="3"/>
        <w:rPr>
          <w:w w:val="90"/>
          <w:sz w:val="25"/>
        </w:rPr>
      </w:pPr>
    </w:p>
    <w:p w14:paraId="1CA135E1" w14:textId="77777777" w:rsidR="00A36BA5" w:rsidRPr="008270BA" w:rsidRDefault="008270BA">
      <w:pPr>
        <w:pStyle w:val="Heading3"/>
        <w:spacing w:line="256" w:lineRule="auto"/>
        <w:ind w:left="295" w:right="293"/>
        <w:jc w:val="center"/>
        <w:rPr>
          <w:w w:val="90"/>
          <w:sz w:val="16"/>
        </w:rPr>
      </w:pPr>
      <w:r w:rsidRPr="008270BA">
        <w:rPr>
          <w:w w:val="90"/>
        </w:rPr>
        <w:t>Gráfico 4: Estimaciones de adultos con indicaciones de profilaxis previa a la exposición para el VIH por raza/etnia y categoría de transmisión, Filadelfia, 2019</w:t>
      </w:r>
      <w:r w:rsidRPr="008270BA">
        <w:rPr>
          <w:w w:val="90"/>
          <w:sz w:val="16"/>
        </w:rPr>
        <w:t>2</w:t>
      </w:r>
    </w:p>
    <w:p w14:paraId="6F9CA924" w14:textId="55D7E5A7" w:rsidR="00A36BA5" w:rsidRPr="008270BA" w:rsidRDefault="009D4B53">
      <w:pPr>
        <w:pStyle w:val="BodyText"/>
        <w:spacing w:before="11"/>
        <w:rPr>
          <w:b/>
          <w:w w:val="90"/>
          <w:sz w:val="18"/>
        </w:rPr>
      </w:pPr>
      <w:r>
        <w:rPr>
          <w:rFonts w:ascii="Times New Roman" w:eastAsiaTheme="minorEastAsia" w:hAnsi="Times New Roman" w:cs="Times New Roman"/>
          <w:noProof/>
        </w:rPr>
        <mc:AlternateContent>
          <mc:Choice Requires="wps">
            <w:drawing>
              <wp:anchor distT="0" distB="0" distL="114300" distR="114300" simplePos="0" relativeHeight="487609344" behindDoc="0" locked="0" layoutInCell="1" allowOverlap="1" wp14:anchorId="1A5FEE5B" wp14:editId="2ACEAD37">
                <wp:simplePos x="0" y="0"/>
                <wp:positionH relativeFrom="column">
                  <wp:posOffset>4651375</wp:posOffset>
                </wp:positionH>
                <wp:positionV relativeFrom="paragraph">
                  <wp:posOffset>224155</wp:posOffset>
                </wp:positionV>
                <wp:extent cx="1498600" cy="152400"/>
                <wp:effectExtent l="0" t="0" r="0" b="0"/>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72B28" w14:textId="77777777" w:rsidR="005E0127" w:rsidRDefault="005E0127" w:rsidP="005E0127">
                            <w:pPr>
                              <w:rPr>
                                <w:sz w:val="12"/>
                                <w:szCs w:val="12"/>
                              </w:rPr>
                            </w:pPr>
                            <w:r>
                              <w:rPr>
                                <w:sz w:val="12"/>
                                <w:szCs w:val="12"/>
                              </w:rPr>
                              <w:t>% DE POBLACIÓN EN RIESGO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FEE5B" id="Text Box 28" o:spid="_x0000_s1038" type="#_x0000_t202" style="position:absolute;margin-left:366.25pt;margin-top:17.65pt;width:118pt;height:12pt;z-index:4876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" stroked="f">
                <v:textbox inset="0,0,0,0">
                  <w:txbxContent>
                    <w:p w14:paraId="75F72B28" w14:textId="77777777" w:rsidR="005E0127" w:rsidRDefault="005E0127" w:rsidP="005E0127">
                      <w:pPr>
                        <w:rPr>
                          <w:sz w:val="12"/>
                          <w:szCs w:val="12"/>
                        </w:rPr>
                      </w:pPr>
                      <w:r>
                        <w:rPr>
                          <w:sz w:val="12"/>
                          <w:szCs w:val="12"/>
                        </w:rPr>
                        <w:t>% DE POBLACIÓN EN RIESGO</w:t>
                      </w:r>
                    </w:p>
                  </w:txbxContent>
                </v:textbox>
              </v:shape>
            </w:pict>
          </mc:Fallback>
        </mc:AlternateContent>
      </w:r>
      <w:r>
        <w:rPr>
          <w:noProof/>
          <w:sz w:val="28"/>
          <w:lang w:val="es-AR" w:eastAsia="es-AR"/>
        </w:rPr>
        <mc:AlternateContent>
          <mc:Choice Requires="wps">
            <w:drawing>
              <wp:anchor distT="0" distB="0" distL="114300" distR="114300" simplePos="0" relativeHeight="487607296" behindDoc="0" locked="0" layoutInCell="1" allowOverlap="1" wp14:anchorId="6D47E63B" wp14:editId="6D01DF99">
                <wp:simplePos x="0" y="0"/>
                <wp:positionH relativeFrom="column">
                  <wp:posOffset>3098800</wp:posOffset>
                </wp:positionH>
                <wp:positionV relativeFrom="paragraph">
                  <wp:posOffset>224155</wp:posOffset>
                </wp:positionV>
                <wp:extent cx="1000125" cy="152400"/>
                <wp:effectExtent l="0" t="0" r="0" b="0"/>
                <wp:wrapNone/>
                <wp:docPr id="3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FA064" w14:textId="77777777" w:rsidR="005E0127" w:rsidRPr="005E0127" w:rsidRDefault="005E0127" w:rsidP="005E0127">
                            <w:pPr>
                              <w:rPr>
                                <w:sz w:val="12"/>
                                <w:szCs w:val="12"/>
                              </w:rPr>
                            </w:pPr>
                            <w:r>
                              <w:rPr>
                                <w:sz w:val="12"/>
                                <w:szCs w:val="12"/>
                              </w:rPr>
                              <w:t>INDICACIÓN DE PrEP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7E63B" id="Text Box 27" o:spid="_x0000_s1039" type="#_x0000_t202" style="position:absolute;margin-left:244pt;margin-top:17.65pt;width:78.75pt;height:12pt;z-index:4876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" stroked="f">
                <v:textbox inset="0,0,0,0">
                  <w:txbxContent>
                    <w:p w14:paraId="6F5FA064" w14:textId="77777777" w:rsidR="005E0127" w:rsidRPr="005E0127" w:rsidRDefault="005E0127" w:rsidP="005E0127">
                      <w:pPr>
                        <w:rPr>
                          <w:sz w:val="12"/>
                          <w:szCs w:val="12"/>
                        </w:rPr>
                      </w:pPr>
                      <w:r>
                        <w:rPr>
                          <w:sz w:val="12"/>
                          <w:szCs w:val="12"/>
                        </w:rPr>
                        <w:t>INDICACIÓN DE PrEP</w:t>
                      </w:r>
                    </w:p>
                  </w:txbxContent>
                </v:textbox>
              </v:shape>
            </w:pict>
          </mc:Fallback>
        </mc:AlternateContent>
      </w:r>
      <w:r>
        <w:rPr>
          <w:rFonts w:ascii="Times New Roman" w:eastAsiaTheme="minorEastAsia" w:hAnsi="Times New Roman" w:cs="Times New Roman"/>
          <w:noProof/>
          <w:lang w:val="es-AR" w:eastAsia="es-AR"/>
        </w:rPr>
        <mc:AlternateContent>
          <mc:Choice Requires="wps">
            <w:drawing>
              <wp:anchor distT="0" distB="0" distL="114300" distR="114300" simplePos="0" relativeHeight="487606272" behindDoc="0" locked="0" layoutInCell="1" allowOverlap="1" wp14:anchorId="7A586914" wp14:editId="535A85E8">
                <wp:simplePos x="0" y="0"/>
                <wp:positionH relativeFrom="column">
                  <wp:posOffset>1374775</wp:posOffset>
                </wp:positionH>
                <wp:positionV relativeFrom="paragraph">
                  <wp:posOffset>233680</wp:posOffset>
                </wp:positionV>
                <wp:extent cx="1000125" cy="152400"/>
                <wp:effectExtent l="0" t="0" r="0" b="0"/>
                <wp:wrapNone/>
                <wp:docPr id="3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33293" w14:textId="77777777" w:rsidR="005E0127" w:rsidRPr="005E0127" w:rsidRDefault="005E0127">
                            <w:pPr>
                              <w:rPr>
                                <w:sz w:val="12"/>
                                <w:szCs w:val="12"/>
                              </w:rPr>
                            </w:pPr>
                            <w:r w:rsidRPr="005E0127">
                              <w:rPr>
                                <w:sz w:val="12"/>
                                <w:szCs w:val="12"/>
                              </w:rPr>
                              <w:t>N</w:t>
                            </w:r>
                            <w:r>
                              <w:rPr>
                                <w:sz w:val="12"/>
                                <w:szCs w:val="12"/>
                              </w:rPr>
                              <w:t>E</w:t>
                            </w:r>
                            <w:r w:rsidRPr="005E0127">
                              <w:rPr>
                                <w:sz w:val="12"/>
                                <w:szCs w:val="12"/>
                              </w:rPr>
                              <w:t>GATIVOS EN RIESGO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86914" id="Text Box 26" o:spid="_x0000_s1040" type="#_x0000_t202" style="position:absolute;margin-left:108.25pt;margin-top:18.4pt;width:78.75pt;height:12pt;z-index:4876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" stroked="f">
                <v:textbox inset="0,0,0,0">
                  <w:txbxContent>
                    <w:p w14:paraId="02733293" w14:textId="77777777" w:rsidR="005E0127" w:rsidRPr="005E0127" w:rsidRDefault="005E0127">
                      <w:pPr>
                        <w:rPr>
                          <w:sz w:val="12"/>
                          <w:szCs w:val="12"/>
                        </w:rPr>
                      </w:pPr>
                      <w:r w:rsidRPr="005E0127">
                        <w:rPr>
                          <w:sz w:val="12"/>
                          <w:szCs w:val="12"/>
                        </w:rPr>
                        <w:t>N</w:t>
                      </w:r>
                      <w:r>
                        <w:rPr>
                          <w:sz w:val="12"/>
                          <w:szCs w:val="12"/>
                        </w:rPr>
                        <w:t>E</w:t>
                      </w:r>
                      <w:r w:rsidRPr="005E0127">
                        <w:rPr>
                          <w:sz w:val="12"/>
                          <w:szCs w:val="12"/>
                        </w:rPr>
                        <w:t>GATIVOS EN RIESGO</w:t>
                      </w:r>
                    </w:p>
                  </w:txbxContent>
                </v:textbox>
              </v:shape>
            </w:pict>
          </mc:Fallback>
        </mc:AlternateContent>
      </w:r>
      <w:r>
        <w:rPr>
          <w:rFonts w:ascii="Times New Roman" w:eastAsiaTheme="minorEastAsia" w:hAnsi="Times New Roman" w:cs="Times New Roman"/>
          <w:noProof/>
        </w:rPr>
        <mc:AlternateContent>
          <mc:Choice Requires="wps">
            <w:drawing>
              <wp:anchor distT="0" distB="0" distL="114300" distR="114300" simplePos="0" relativeHeight="487605248" behindDoc="0" locked="0" layoutInCell="1" allowOverlap="1" wp14:anchorId="2CC42A04" wp14:editId="32C933A2">
                <wp:simplePos x="0" y="0"/>
                <wp:positionH relativeFrom="column">
                  <wp:posOffset>412750</wp:posOffset>
                </wp:positionH>
                <wp:positionV relativeFrom="paragraph">
                  <wp:posOffset>1119505</wp:posOffset>
                </wp:positionV>
                <wp:extent cx="485775" cy="180975"/>
                <wp:effectExtent l="0" t="0" r="0" b="0"/>
                <wp:wrapNone/>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80975"/>
                        </a:xfrm>
                        <a:prstGeom prst="rect">
                          <a:avLst/>
                        </a:prstGeom>
                        <a:solidFill>
                          <a:srgbClr val="45758B"/>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64C17D8A" w14:textId="77777777" w:rsidR="005E0127" w:rsidRDefault="005E0127" w:rsidP="005E0127">
                            <w:pPr>
                              <w:rPr>
                                <w:color w:val="FFFFFF" w:themeColor="background1"/>
                                <w:sz w:val="16"/>
                                <w:szCs w:val="16"/>
                              </w:rPr>
                            </w:pPr>
                            <w:r>
                              <w:rPr>
                                <w:color w:val="FFFFFF" w:themeColor="background1"/>
                                <w:sz w:val="16"/>
                                <w:szCs w:val="16"/>
                              </w:rPr>
                              <w:t>Blancos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42A04" id="Text Box 25" o:spid="_x0000_s1041" type="#_x0000_t202" style="position:absolute;margin-left:32.5pt;margin-top:88.15pt;width:38.25pt;height:14.25pt;z-index:4876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" fillcolor="#45758b" stroked="f" strokecolor="white [3212]">
                <v:textbox inset="0,0,0,0">
                  <w:txbxContent>
                    <w:p w14:paraId="64C17D8A" w14:textId="77777777" w:rsidR="005E0127" w:rsidRDefault="005E0127" w:rsidP="005E0127">
                      <w:pPr>
                        <w:rPr>
                          <w:color w:val="FFFFFF" w:themeColor="background1"/>
                          <w:sz w:val="16"/>
                          <w:szCs w:val="16"/>
                        </w:rPr>
                      </w:pPr>
                      <w:r>
                        <w:rPr>
                          <w:color w:val="FFFFFF" w:themeColor="background1"/>
                          <w:sz w:val="16"/>
                          <w:szCs w:val="16"/>
                        </w:rPr>
                        <w:t>Blancos</w:t>
                      </w:r>
                    </w:p>
                  </w:txbxContent>
                </v:textbox>
              </v:shape>
            </w:pict>
          </mc:Fallback>
        </mc:AlternateContent>
      </w:r>
      <w:r>
        <w:rPr>
          <w:noProof/>
          <w:lang w:val="es-AR" w:eastAsia="es-AR"/>
        </w:rPr>
        <mc:AlternateContent>
          <mc:Choice Requires="wps">
            <w:drawing>
              <wp:anchor distT="0" distB="0" distL="114300" distR="114300" simplePos="0" relativeHeight="487603200" behindDoc="0" locked="0" layoutInCell="1" allowOverlap="1" wp14:anchorId="7C8C97C4" wp14:editId="5759ED54">
                <wp:simplePos x="0" y="0"/>
                <wp:positionH relativeFrom="column">
                  <wp:posOffset>412750</wp:posOffset>
                </wp:positionH>
                <wp:positionV relativeFrom="paragraph">
                  <wp:posOffset>567055</wp:posOffset>
                </wp:positionV>
                <wp:extent cx="485775" cy="180975"/>
                <wp:effectExtent l="0" t="0" r="0" b="0"/>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80975"/>
                        </a:xfrm>
                        <a:prstGeom prst="rect">
                          <a:avLst/>
                        </a:prstGeom>
                        <a:solidFill>
                          <a:srgbClr val="7030A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2C9DA417" w14:textId="77777777" w:rsidR="005E0127" w:rsidRPr="005E0127" w:rsidRDefault="005E0127" w:rsidP="005E0127">
                            <w:pPr>
                              <w:shd w:val="clear" w:color="auto" w:fill="000000" w:themeFill="text1"/>
                              <w:rPr>
                                <w:color w:val="FFFFFF" w:themeColor="background1"/>
                                <w:sz w:val="16"/>
                                <w:szCs w:val="16"/>
                              </w:rPr>
                            </w:pPr>
                            <w:r>
                              <w:rPr>
                                <w:color w:val="FFFFFF" w:themeColor="background1"/>
                                <w:sz w:val="16"/>
                                <w:szCs w:val="16"/>
                              </w:rPr>
                              <w:t>Negros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C97C4" id="Text Box 24" o:spid="_x0000_s1042" type="#_x0000_t202" style="position:absolute;margin-left:32.5pt;margin-top:44.65pt;width:38.25pt;height:14.25pt;z-index:4876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" fillcolor="#7030a0" stroked="f" strokecolor="white [3212]">
                <v:textbox inset="0,0,0,0">
                  <w:txbxContent>
                    <w:p w14:paraId="2C9DA417" w14:textId="77777777" w:rsidR="005E0127" w:rsidRPr="005E0127" w:rsidRDefault="005E0127" w:rsidP="005E0127">
                      <w:pPr>
                        <w:shd w:val="clear" w:color="auto" w:fill="000000" w:themeFill="text1"/>
                        <w:rPr>
                          <w:color w:val="FFFFFF" w:themeColor="background1"/>
                          <w:sz w:val="16"/>
                          <w:szCs w:val="16"/>
                        </w:rPr>
                      </w:pPr>
                      <w:r>
                        <w:rPr>
                          <w:color w:val="FFFFFF" w:themeColor="background1"/>
                          <w:sz w:val="16"/>
                          <w:szCs w:val="16"/>
                        </w:rPr>
                        <w:t>Negros</w:t>
                      </w:r>
                    </w:p>
                  </w:txbxContent>
                </v:textbox>
              </v:shape>
            </w:pict>
          </mc:Fallback>
        </mc:AlternateContent>
      </w:r>
      <w:r>
        <w:rPr>
          <w:noProof/>
          <w:lang w:val="es-AR" w:eastAsia="es-AR"/>
        </w:rPr>
        <mc:AlternateContent>
          <mc:Choice Requires="wps">
            <w:drawing>
              <wp:anchor distT="0" distB="0" distL="114300" distR="114300" simplePos="0" relativeHeight="487602176" behindDoc="0" locked="0" layoutInCell="1" allowOverlap="1" wp14:anchorId="38A742E0" wp14:editId="46B9841D">
                <wp:simplePos x="0" y="0"/>
                <wp:positionH relativeFrom="column">
                  <wp:posOffset>412750</wp:posOffset>
                </wp:positionH>
                <wp:positionV relativeFrom="paragraph">
                  <wp:posOffset>852805</wp:posOffset>
                </wp:positionV>
                <wp:extent cx="485775" cy="180975"/>
                <wp:effectExtent l="0" t="0" r="0" b="0"/>
                <wp:wrapNone/>
                <wp:docPr id="3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80975"/>
                        </a:xfrm>
                        <a:prstGeom prst="rect">
                          <a:avLst/>
                        </a:prstGeom>
                        <a:solidFill>
                          <a:srgbClr val="7030A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1FB1C064" w14:textId="77777777" w:rsidR="005E0127" w:rsidRPr="005E0127" w:rsidRDefault="005E0127">
                            <w:pPr>
                              <w:rPr>
                                <w:color w:val="FFFFFF" w:themeColor="background1"/>
                                <w:sz w:val="16"/>
                                <w:szCs w:val="16"/>
                              </w:rPr>
                            </w:pPr>
                            <w:r w:rsidRPr="005E0127">
                              <w:rPr>
                                <w:color w:val="FFFFFF" w:themeColor="background1"/>
                                <w:sz w:val="16"/>
                                <w:szCs w:val="16"/>
                              </w:rPr>
                              <w:t>Hispanos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742E0" id="Text Box 23" o:spid="_x0000_s1043" type="#_x0000_t202" style="position:absolute;margin-left:32.5pt;margin-top:67.15pt;width:38.25pt;height:14.25pt;z-index:4876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" fillcolor="#7030a0" stroked="f" strokecolor="white [3212]">
                <v:textbox inset="0,0,0,0">
                  <w:txbxContent>
                    <w:p w14:paraId="1FB1C064" w14:textId="77777777" w:rsidR="005E0127" w:rsidRPr="005E0127" w:rsidRDefault="005E0127">
                      <w:pPr>
                        <w:rPr>
                          <w:color w:val="FFFFFF" w:themeColor="background1"/>
                          <w:sz w:val="16"/>
                          <w:szCs w:val="16"/>
                        </w:rPr>
                      </w:pPr>
                      <w:r w:rsidRPr="005E0127">
                        <w:rPr>
                          <w:color w:val="FFFFFF" w:themeColor="background1"/>
                          <w:sz w:val="16"/>
                          <w:szCs w:val="16"/>
                        </w:rPr>
                        <w:t>Hispanos</w:t>
                      </w:r>
                    </w:p>
                  </w:txbxContent>
                </v:textbox>
              </v:shape>
            </w:pict>
          </mc:Fallback>
        </mc:AlternateContent>
      </w:r>
      <w:r w:rsidR="008270BA" w:rsidRPr="008270BA">
        <w:rPr>
          <w:noProof/>
          <w:w w:val="90"/>
          <w:lang w:val="es-AR" w:eastAsia="es-AR"/>
        </w:rPr>
        <w:drawing>
          <wp:anchor distT="0" distB="0" distL="0" distR="0" simplePos="0" relativeHeight="251658752" behindDoc="0" locked="0" layoutInCell="1" allowOverlap="1" wp14:anchorId="03BD4AD8" wp14:editId="0FECEE2E">
            <wp:simplePos x="0" y="0"/>
            <wp:positionH relativeFrom="page">
              <wp:posOffset>1030009</wp:posOffset>
            </wp:positionH>
            <wp:positionV relativeFrom="paragraph">
              <wp:posOffset>163183</wp:posOffset>
            </wp:positionV>
            <wp:extent cx="5802954" cy="197386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5802954" cy="1973865"/>
                    </a:xfrm>
                    <a:prstGeom prst="rect">
                      <a:avLst/>
                    </a:prstGeom>
                  </pic:spPr>
                </pic:pic>
              </a:graphicData>
            </a:graphic>
          </wp:anchor>
        </w:drawing>
      </w:r>
    </w:p>
    <w:p w14:paraId="6811B0F4" w14:textId="77777777" w:rsidR="00A36BA5" w:rsidRPr="008270BA" w:rsidRDefault="008270BA">
      <w:pPr>
        <w:ind w:left="573" w:right="573"/>
        <w:jc w:val="center"/>
        <w:rPr>
          <w:w w:val="90"/>
          <w:sz w:val="16"/>
        </w:rPr>
      </w:pPr>
      <w:r w:rsidRPr="008270BA">
        <w:rPr>
          <w:b/>
          <w:color w:val="4C4C4E"/>
          <w:w w:val="90"/>
          <w:sz w:val="16"/>
        </w:rPr>
        <w:t>Fuente</w:t>
      </w:r>
      <w:r w:rsidRPr="008270BA">
        <w:rPr>
          <w:color w:val="4C4C4E"/>
          <w:w w:val="90"/>
          <w:sz w:val="16"/>
        </w:rPr>
        <w:t xml:space="preserve"> Departamento de Salud Púbica de Filadelfia, Oficina de Coordinación de Actividades de SIDA</w:t>
      </w:r>
    </w:p>
    <w:p w14:paraId="09BE699E" w14:textId="77777777" w:rsidR="005E0127" w:rsidRDefault="005E0127">
      <w:pPr>
        <w:pStyle w:val="BodyText"/>
        <w:ind w:left="120"/>
        <w:rPr>
          <w:w w:val="90"/>
        </w:rPr>
      </w:pPr>
    </w:p>
    <w:p w14:paraId="68E6983B" w14:textId="77777777" w:rsidR="00A36BA5" w:rsidRPr="008270BA" w:rsidRDefault="008270BA">
      <w:pPr>
        <w:pStyle w:val="BodyText"/>
        <w:ind w:left="120"/>
        <w:rPr>
          <w:w w:val="90"/>
        </w:rPr>
      </w:pPr>
      <w:r w:rsidRPr="008270BA">
        <w:rPr>
          <w:w w:val="90"/>
        </w:rPr>
        <w:t>Otros factores significativos que contribuyen a un mayor riesgo de contraer VIH incluyen:</w:t>
      </w:r>
    </w:p>
    <w:p w14:paraId="716AF45C" w14:textId="77777777" w:rsidR="00A36BA5" w:rsidRPr="008270BA" w:rsidRDefault="00A36BA5">
      <w:pPr>
        <w:pStyle w:val="BodyText"/>
        <w:spacing w:before="2"/>
        <w:rPr>
          <w:w w:val="90"/>
          <w:sz w:val="28"/>
        </w:rPr>
      </w:pPr>
    </w:p>
    <w:p w14:paraId="2F2D60F6" w14:textId="77777777" w:rsidR="00A36BA5" w:rsidRPr="008270BA" w:rsidRDefault="008270BA">
      <w:pPr>
        <w:pStyle w:val="ListParagraph"/>
        <w:numPr>
          <w:ilvl w:val="0"/>
          <w:numId w:val="7"/>
        </w:numPr>
        <w:tabs>
          <w:tab w:val="left" w:pos="658"/>
        </w:tabs>
        <w:spacing w:line="252" w:lineRule="auto"/>
        <w:ind w:right="194" w:hanging="360"/>
        <w:rPr>
          <w:rFonts w:ascii="Symbol" w:hAnsi="Symbol"/>
          <w:w w:val="90"/>
          <w:sz w:val="24"/>
        </w:rPr>
      </w:pPr>
      <w:r w:rsidRPr="008270BA">
        <w:rPr>
          <w:b/>
          <w:w w:val="90"/>
          <w:sz w:val="24"/>
        </w:rPr>
        <w:t xml:space="preserve">Infecciones de transmisión sexual/exposición sexual al VIH </w:t>
      </w:r>
      <w:r w:rsidRPr="008270BA">
        <w:rPr>
          <w:w w:val="90"/>
          <w:sz w:val="24"/>
        </w:rPr>
        <w:t>- Las infecciones de transmisión sexual aumentan el riesgo tanto de transmisión como de adquisición de VIH</w:t>
      </w:r>
      <w:r w:rsidRPr="008270BA">
        <w:rPr>
          <w:w w:val="90"/>
          <w:sz w:val="16"/>
        </w:rPr>
        <w:t>6</w:t>
      </w:r>
      <w:r w:rsidRPr="008270BA">
        <w:rPr>
          <w:w w:val="90"/>
          <w:sz w:val="24"/>
        </w:rPr>
        <w:t>. En 2019, hubo 470 casos de sífilis primaria o secundaria, 495 casos de sífilis latente temprana, 7,043 casos de gonorrea y 20,354 casos de clamidia en Filadelfia</w:t>
      </w:r>
      <w:r w:rsidRPr="008270BA">
        <w:rPr>
          <w:w w:val="90"/>
          <w:sz w:val="16"/>
        </w:rPr>
        <w:t>7</w:t>
      </w:r>
      <w:r w:rsidRPr="008270BA">
        <w:rPr>
          <w:w w:val="90"/>
          <w:sz w:val="24"/>
        </w:rPr>
        <w:t xml:space="preserve">. </w:t>
      </w:r>
      <w:r w:rsidRPr="008270BA">
        <w:rPr>
          <w:color w:val="201F1E"/>
          <w:w w:val="90"/>
          <w:sz w:val="24"/>
        </w:rPr>
        <w:t>Según los datos de 2018 del Proyecto de Monitoreo Médico de Filadelfia (</w:t>
      </w:r>
      <w:proofErr w:type="spellStart"/>
      <w:r w:rsidRPr="008270BA">
        <w:rPr>
          <w:color w:val="201F1E"/>
          <w:w w:val="90"/>
          <w:sz w:val="24"/>
        </w:rPr>
        <w:t>Philadelphia</w:t>
      </w:r>
      <w:proofErr w:type="spellEnd"/>
      <w:r w:rsidRPr="008270BA">
        <w:rPr>
          <w:color w:val="201F1E"/>
          <w:w w:val="90"/>
          <w:sz w:val="24"/>
        </w:rPr>
        <w:t xml:space="preserve"> Medical </w:t>
      </w:r>
      <w:proofErr w:type="spellStart"/>
      <w:r w:rsidRPr="008270BA">
        <w:rPr>
          <w:color w:val="201F1E"/>
          <w:w w:val="90"/>
          <w:sz w:val="24"/>
        </w:rPr>
        <w:t>Monitoring</w:t>
      </w:r>
      <w:proofErr w:type="spellEnd"/>
      <w:r w:rsidRPr="008270BA">
        <w:rPr>
          <w:color w:val="201F1E"/>
          <w:w w:val="90"/>
          <w:sz w:val="24"/>
        </w:rPr>
        <w:t xml:space="preserve"> Proyect), el 30.7% de las Proyecto de Monitoreo Médico de Filadelfia que no estaban viralmente suprimidas tuvo sexo sin condón con una persona que era VIH negativo o de estado desconocido</w:t>
      </w:r>
      <w:r w:rsidRPr="008270BA">
        <w:rPr>
          <w:color w:val="201F1E"/>
          <w:w w:val="90"/>
          <w:sz w:val="16"/>
        </w:rPr>
        <w:t>4</w:t>
      </w:r>
      <w:r w:rsidRPr="008270BA">
        <w:rPr>
          <w:color w:val="201F1E"/>
          <w:w w:val="90"/>
          <w:sz w:val="24"/>
        </w:rPr>
        <w:t>.</w:t>
      </w:r>
    </w:p>
    <w:p w14:paraId="7AED9ACD" w14:textId="77777777" w:rsidR="00A36BA5" w:rsidRPr="005E0127" w:rsidRDefault="008270BA" w:rsidP="005E0127">
      <w:pPr>
        <w:pStyle w:val="ListParagraph"/>
        <w:numPr>
          <w:ilvl w:val="0"/>
          <w:numId w:val="7"/>
        </w:numPr>
        <w:tabs>
          <w:tab w:val="left" w:pos="658"/>
        </w:tabs>
        <w:spacing w:before="6" w:line="247" w:lineRule="auto"/>
        <w:ind w:right="178" w:hanging="360"/>
        <w:rPr>
          <w:rFonts w:ascii="Symbol" w:hAnsi="Symbol"/>
          <w:w w:val="90"/>
          <w:sz w:val="24"/>
        </w:rPr>
      </w:pPr>
      <w:r w:rsidRPr="008270BA">
        <w:rPr>
          <w:b/>
          <w:w w:val="90"/>
          <w:sz w:val="24"/>
        </w:rPr>
        <w:t xml:space="preserve">Uso de sustancias </w:t>
      </w:r>
      <w:r w:rsidRPr="008270BA">
        <w:rPr>
          <w:w w:val="90"/>
          <w:sz w:val="24"/>
        </w:rPr>
        <w:t>- El uso de sustancias contribuye a comportamientos que aumentan el riesgo de exposición al VIH. El uso de sustancias está asociado con el trauma, la enfermedad mental y otros factores que afectan a las personas en riesgo de contraer VIH y que viven con VIH</w:t>
      </w:r>
      <w:r w:rsidRPr="008270BA">
        <w:rPr>
          <w:w w:val="90"/>
          <w:sz w:val="16"/>
        </w:rPr>
        <w:t>8</w:t>
      </w:r>
      <w:r w:rsidRPr="008270BA">
        <w:rPr>
          <w:w w:val="90"/>
          <w:sz w:val="24"/>
        </w:rPr>
        <w:t xml:space="preserve">. El uso de drogas inyectables en particular aumenta el riesgo de VIH. En 2019, casi el 24% de las PLWH en Filadelfia había contraído VIH mediante </w:t>
      </w:r>
      <w:r w:rsidR="005E0127">
        <w:rPr>
          <w:w w:val="90"/>
          <w:sz w:val="24"/>
        </w:rPr>
        <w:t>el uso</w:t>
      </w:r>
      <w:r w:rsidR="005E0127" w:rsidRPr="005E0127">
        <w:rPr>
          <w:w w:val="90"/>
          <w:sz w:val="24"/>
          <w:vertAlign w:val="superscript"/>
        </w:rPr>
        <w:t>2</w:t>
      </w:r>
      <w:r w:rsidR="005E0127">
        <w:rPr>
          <w:w w:val="90"/>
          <w:sz w:val="24"/>
        </w:rPr>
        <w:t xml:space="preserve"> de </w:t>
      </w:r>
      <w:r w:rsidRPr="008270BA">
        <w:rPr>
          <w:w w:val="90"/>
          <w:sz w:val="24"/>
        </w:rPr>
        <w:t>inyección actual o pasada de drogas</w:t>
      </w:r>
      <w:r w:rsidRPr="005E0127">
        <w:rPr>
          <w:w w:val="90"/>
        </w:rPr>
        <w:t>. Luego de muchos años de tasas bajas de nuevas infecciones con VIH entre PWID, los diagnósticos están en alza.</w:t>
      </w:r>
    </w:p>
    <w:p w14:paraId="085897B9" w14:textId="77777777" w:rsidR="00A36BA5" w:rsidRPr="008270BA" w:rsidRDefault="00A36BA5">
      <w:pPr>
        <w:pStyle w:val="BodyText"/>
        <w:rPr>
          <w:w w:val="90"/>
          <w:sz w:val="28"/>
        </w:rPr>
      </w:pPr>
    </w:p>
    <w:p w14:paraId="49C14163" w14:textId="77777777" w:rsidR="00A36BA5" w:rsidRPr="008270BA" w:rsidRDefault="008270BA">
      <w:pPr>
        <w:pStyle w:val="Heading2"/>
        <w:spacing w:before="183"/>
        <w:rPr>
          <w:w w:val="90"/>
        </w:rPr>
      </w:pPr>
      <w:bookmarkStart w:id="4" w:name="_TOC_250020"/>
      <w:r w:rsidRPr="008270BA">
        <w:rPr>
          <w:w w:val="90"/>
        </w:rPr>
        <w:lastRenderedPageBreak/>
        <w:t xml:space="preserve">Pilar cuatro: </w:t>
      </w:r>
      <w:bookmarkEnd w:id="4"/>
      <w:r w:rsidRPr="008270BA">
        <w:rPr>
          <w:w w:val="90"/>
        </w:rPr>
        <w:t>Responder</w:t>
      </w:r>
    </w:p>
    <w:p w14:paraId="15F6611D" w14:textId="77777777" w:rsidR="00A36BA5" w:rsidRPr="008270BA" w:rsidRDefault="00A36BA5">
      <w:pPr>
        <w:pStyle w:val="BodyText"/>
        <w:spacing w:before="2"/>
        <w:rPr>
          <w:w w:val="90"/>
          <w:sz w:val="29"/>
        </w:rPr>
      </w:pPr>
    </w:p>
    <w:p w14:paraId="27F84976" w14:textId="77777777" w:rsidR="00A36BA5" w:rsidRPr="008270BA" w:rsidRDefault="008270BA">
      <w:pPr>
        <w:pStyle w:val="BodyText"/>
        <w:spacing w:line="254" w:lineRule="auto"/>
        <w:ind w:left="120"/>
        <w:rPr>
          <w:w w:val="90"/>
        </w:rPr>
      </w:pPr>
      <w:r w:rsidRPr="008270BA">
        <w:rPr>
          <w:w w:val="90"/>
        </w:rPr>
        <w:t xml:space="preserve">Ahora, Filadelfia está experimentando una epidemia en el uso de opioides y la adicción a ellos. Esta epidemia está caracterizada por la introducción de fentanilo en el suministro de drogas ilícitas, un alza en la cantidad de personas que se inyectan drogas, un aumento en la indigencia entre usuarios de drogas, un aumento en la transmisión de la Hepatitis C, y aumentos marcados en las sobredosis fatales y no fatales con drogas. </w:t>
      </w:r>
      <w:r w:rsidRPr="008270BA">
        <w:rPr>
          <w:w w:val="90"/>
          <w:sz w:val="22"/>
        </w:rPr>
        <w:t>Hubo 1,150 muertes relacionadas con drogas en 2019, en comparación con 460 en 2013</w:t>
      </w:r>
      <w:r w:rsidRPr="008270BA">
        <w:rPr>
          <w:w w:val="90"/>
          <w:sz w:val="14"/>
        </w:rPr>
        <w:t>22</w:t>
      </w:r>
      <w:r w:rsidRPr="008270BA">
        <w:rPr>
          <w:w w:val="90"/>
          <w:sz w:val="22"/>
        </w:rPr>
        <w:t xml:space="preserve">. </w:t>
      </w:r>
      <w:r w:rsidRPr="008270BA">
        <w:rPr>
          <w:w w:val="90"/>
        </w:rPr>
        <w:t>En septiembre de 2018, el PDPH identificó un aumento en las nuevas infecciones con VIH entre PWID. Estas infecciones están asociadas con la crisis de opioides.</w:t>
      </w:r>
    </w:p>
    <w:p w14:paraId="7B2708FC" w14:textId="77777777" w:rsidR="00A36BA5" w:rsidRPr="008270BA" w:rsidRDefault="00A36BA5">
      <w:pPr>
        <w:pStyle w:val="BodyText"/>
        <w:spacing w:before="9"/>
        <w:rPr>
          <w:w w:val="90"/>
        </w:rPr>
      </w:pPr>
    </w:p>
    <w:p w14:paraId="23909293" w14:textId="77777777" w:rsidR="00A36BA5" w:rsidRPr="008270BA" w:rsidRDefault="008270BA">
      <w:pPr>
        <w:pStyle w:val="BodyText"/>
        <w:spacing w:line="261" w:lineRule="auto"/>
        <w:ind w:left="120"/>
        <w:rPr>
          <w:w w:val="90"/>
        </w:rPr>
      </w:pPr>
      <w:r w:rsidRPr="008270BA">
        <w:rPr>
          <w:w w:val="90"/>
        </w:rPr>
        <w:t>Al mismo tiempo, la epidemia en Filadelfia sigue concentrada entre MSM. Esto indica la necesidad de investigar nuevos casos en todos los grupos de riesgo.</w:t>
      </w:r>
    </w:p>
    <w:p w14:paraId="7C53E1F2" w14:textId="77777777" w:rsidR="00A36BA5" w:rsidRPr="008270BA" w:rsidRDefault="00A36BA5">
      <w:pPr>
        <w:pStyle w:val="BodyText"/>
        <w:spacing w:before="11"/>
        <w:rPr>
          <w:w w:val="90"/>
          <w:sz w:val="25"/>
        </w:rPr>
      </w:pPr>
    </w:p>
    <w:p w14:paraId="39100B3C" w14:textId="77777777" w:rsidR="00A36BA5" w:rsidRPr="008270BA" w:rsidRDefault="008270BA">
      <w:pPr>
        <w:pStyle w:val="ListParagraph"/>
        <w:numPr>
          <w:ilvl w:val="0"/>
          <w:numId w:val="7"/>
        </w:numPr>
        <w:tabs>
          <w:tab w:val="left" w:pos="658"/>
        </w:tabs>
        <w:ind w:left="657"/>
        <w:rPr>
          <w:rFonts w:ascii="Symbol" w:hAnsi="Symbol"/>
          <w:w w:val="90"/>
          <w:sz w:val="24"/>
        </w:rPr>
      </w:pPr>
      <w:r w:rsidRPr="008270BA">
        <w:rPr>
          <w:w w:val="90"/>
          <w:sz w:val="24"/>
        </w:rPr>
        <w:t>En 2019, se informaron 83 casos nuevos de VIH entre PWID, un aumento del 151% desde 2016.</w:t>
      </w:r>
    </w:p>
    <w:p w14:paraId="378BBC43" w14:textId="77777777" w:rsidR="00A36BA5" w:rsidRPr="008270BA" w:rsidRDefault="008270BA">
      <w:pPr>
        <w:pStyle w:val="ListParagraph"/>
        <w:numPr>
          <w:ilvl w:val="0"/>
          <w:numId w:val="7"/>
        </w:numPr>
        <w:tabs>
          <w:tab w:val="left" w:pos="658"/>
        </w:tabs>
        <w:spacing w:before="3"/>
        <w:ind w:left="657"/>
        <w:rPr>
          <w:rFonts w:ascii="Symbol" w:hAnsi="Symbol"/>
          <w:w w:val="90"/>
          <w:sz w:val="24"/>
        </w:rPr>
      </w:pPr>
      <w:r w:rsidRPr="008270BA">
        <w:rPr>
          <w:w w:val="90"/>
          <w:sz w:val="24"/>
        </w:rPr>
        <w:t>La supresión viral en PWID diagnosticadas anteriormente sigue siendo más baja que el promedio.</w:t>
      </w:r>
    </w:p>
    <w:p w14:paraId="06C22A6A" w14:textId="77777777" w:rsidR="00A36BA5" w:rsidRPr="008270BA" w:rsidRDefault="008270BA">
      <w:pPr>
        <w:pStyle w:val="ListParagraph"/>
        <w:numPr>
          <w:ilvl w:val="0"/>
          <w:numId w:val="7"/>
        </w:numPr>
        <w:tabs>
          <w:tab w:val="left" w:pos="658"/>
        </w:tabs>
        <w:spacing w:before="3"/>
        <w:ind w:left="657"/>
        <w:rPr>
          <w:rFonts w:ascii="Symbol" w:hAnsi="Symbol"/>
          <w:w w:val="90"/>
          <w:sz w:val="24"/>
        </w:rPr>
      </w:pPr>
      <w:r w:rsidRPr="008270BA">
        <w:rPr>
          <w:w w:val="90"/>
          <w:sz w:val="24"/>
        </w:rPr>
        <w:t>La supresión viral en MSM negros e hispanos/latinos es más baja que en MSM blancos.</w:t>
      </w:r>
    </w:p>
    <w:p w14:paraId="61E1D057" w14:textId="77777777" w:rsidR="00A36BA5" w:rsidRPr="008270BA" w:rsidRDefault="008270BA">
      <w:pPr>
        <w:pStyle w:val="ListParagraph"/>
        <w:numPr>
          <w:ilvl w:val="0"/>
          <w:numId w:val="7"/>
        </w:numPr>
        <w:tabs>
          <w:tab w:val="left" w:pos="658"/>
        </w:tabs>
        <w:spacing w:before="3" w:line="242" w:lineRule="auto"/>
        <w:ind w:right="720" w:hanging="360"/>
        <w:rPr>
          <w:rFonts w:ascii="Symbol" w:hAnsi="Symbol"/>
          <w:w w:val="90"/>
          <w:sz w:val="24"/>
        </w:rPr>
      </w:pPr>
      <w:r w:rsidRPr="008270BA">
        <w:rPr>
          <w:w w:val="90"/>
          <w:sz w:val="24"/>
        </w:rPr>
        <w:t>En 2018, las tasas de nuevos diagnósticos de VIH fueron más de 2.5 veces mayores entre MSM en comparación con PWID y 26 veces mayores entre heterosexuales en comparación con MSM.</w:t>
      </w:r>
    </w:p>
    <w:p w14:paraId="2F027D69" w14:textId="77777777" w:rsidR="00A36BA5" w:rsidRPr="008270BA" w:rsidRDefault="00A36BA5">
      <w:pPr>
        <w:pStyle w:val="BodyText"/>
        <w:rPr>
          <w:w w:val="90"/>
          <w:sz w:val="28"/>
        </w:rPr>
      </w:pPr>
    </w:p>
    <w:p w14:paraId="0D91FCE4" w14:textId="77777777" w:rsidR="00A36BA5" w:rsidRPr="008270BA" w:rsidRDefault="008270BA">
      <w:pPr>
        <w:pStyle w:val="BodyText"/>
        <w:spacing w:line="254" w:lineRule="auto"/>
        <w:ind w:left="120" w:right="128"/>
        <w:rPr>
          <w:w w:val="90"/>
        </w:rPr>
      </w:pPr>
      <w:r w:rsidRPr="008270BA">
        <w:rPr>
          <w:color w:val="201F1E"/>
          <w:w w:val="90"/>
        </w:rPr>
        <w:t xml:space="preserve">Mediante el análisis de datos de salud pública de rutina, el PDPH identificó grupos de diagnósticos de VIH de rápido crecimiento y estrechamente relacionados en MSM. Un grupo fue identificado en 2018, y el otro grupo, más reciente, fue identificado en junio de 2019. Las personas recientemente diagnosticadas en estos grupos recibieron Servicios de Socios y reciben un seguimiento mediante un proyecto que </w:t>
      </w:r>
      <w:r w:rsidRPr="008270BA">
        <w:rPr>
          <w:w w:val="90"/>
        </w:rPr>
        <w:t>busca identificar patrones de oportunidades perdidas en el sistema de prevención de VIH en Filadelfia. Este proyecto usa revisiones de gráficos estandarizados y entrevistas con casos centinela de personas que fueron diagnosticadas con VIH recientemente. La información recopilada se revisa mediante un Equipo de Acción Comunitaria (</w:t>
      </w:r>
      <w:proofErr w:type="spellStart"/>
      <w:r w:rsidRPr="008270BA">
        <w:rPr>
          <w:w w:val="90"/>
        </w:rPr>
        <w:t>Community</w:t>
      </w:r>
      <w:proofErr w:type="spellEnd"/>
      <w:r w:rsidRPr="008270BA">
        <w:rPr>
          <w:w w:val="90"/>
        </w:rPr>
        <w:t xml:space="preserve"> </w:t>
      </w:r>
      <w:proofErr w:type="spellStart"/>
      <w:r w:rsidRPr="008270BA">
        <w:rPr>
          <w:w w:val="90"/>
        </w:rPr>
        <w:t>Action</w:t>
      </w:r>
      <w:proofErr w:type="spellEnd"/>
      <w:r w:rsidRPr="008270BA">
        <w:rPr>
          <w:w w:val="90"/>
        </w:rPr>
        <w:t xml:space="preserve"> </w:t>
      </w:r>
      <w:proofErr w:type="spellStart"/>
      <w:r w:rsidRPr="008270BA">
        <w:rPr>
          <w:w w:val="90"/>
        </w:rPr>
        <w:t>Team</w:t>
      </w:r>
      <w:proofErr w:type="spellEnd"/>
      <w:r w:rsidRPr="008270BA">
        <w:rPr>
          <w:w w:val="90"/>
        </w:rPr>
        <w:t xml:space="preserve">) y un Equipo de Revisión de Casos (Case </w:t>
      </w:r>
      <w:proofErr w:type="spellStart"/>
      <w:r w:rsidRPr="008270BA">
        <w:rPr>
          <w:w w:val="90"/>
        </w:rPr>
        <w:t>Review</w:t>
      </w:r>
      <w:proofErr w:type="spellEnd"/>
      <w:r w:rsidRPr="008270BA">
        <w:rPr>
          <w:w w:val="90"/>
        </w:rPr>
        <w:t xml:space="preserve"> </w:t>
      </w:r>
      <w:proofErr w:type="spellStart"/>
      <w:r w:rsidRPr="008270BA">
        <w:rPr>
          <w:w w:val="90"/>
        </w:rPr>
        <w:t>Team</w:t>
      </w:r>
      <w:proofErr w:type="spellEnd"/>
      <w:r w:rsidRPr="008270BA">
        <w:rPr>
          <w:w w:val="90"/>
        </w:rPr>
        <w:t>) regular, estructurado e interdisciplinario para identificar cambios a políticas accionables a ser implementados a través de un Equipo de Implementación de Políticas (</w:t>
      </w:r>
      <w:proofErr w:type="spellStart"/>
      <w:r w:rsidRPr="008270BA">
        <w:rPr>
          <w:w w:val="90"/>
        </w:rPr>
        <w:t>Policy</w:t>
      </w:r>
      <w:proofErr w:type="spellEnd"/>
      <w:r w:rsidRPr="008270BA">
        <w:rPr>
          <w:w w:val="90"/>
        </w:rPr>
        <w:t xml:space="preserve"> </w:t>
      </w:r>
      <w:proofErr w:type="spellStart"/>
      <w:r w:rsidRPr="008270BA">
        <w:rPr>
          <w:w w:val="90"/>
        </w:rPr>
        <w:t>Implementation</w:t>
      </w:r>
      <w:proofErr w:type="spellEnd"/>
      <w:r w:rsidRPr="008270BA">
        <w:rPr>
          <w:w w:val="90"/>
        </w:rPr>
        <w:t xml:space="preserve"> </w:t>
      </w:r>
      <w:proofErr w:type="spellStart"/>
      <w:r w:rsidRPr="008270BA">
        <w:rPr>
          <w:w w:val="90"/>
        </w:rPr>
        <w:t>Team</w:t>
      </w:r>
      <w:proofErr w:type="spellEnd"/>
      <w:r w:rsidRPr="008270BA">
        <w:rPr>
          <w:w w:val="90"/>
        </w:rPr>
        <w:t>).</w:t>
      </w:r>
    </w:p>
    <w:p w14:paraId="349F5ED7" w14:textId="77777777" w:rsidR="00A36BA5" w:rsidRPr="008270BA" w:rsidRDefault="00A36BA5">
      <w:pPr>
        <w:pStyle w:val="BodyText"/>
        <w:spacing w:before="1"/>
        <w:rPr>
          <w:w w:val="90"/>
          <w:sz w:val="26"/>
        </w:rPr>
      </w:pPr>
    </w:p>
    <w:p w14:paraId="610637CB" w14:textId="77777777" w:rsidR="00A36BA5" w:rsidRPr="008270BA" w:rsidRDefault="008270BA">
      <w:pPr>
        <w:pStyle w:val="BodyText"/>
        <w:spacing w:line="242" w:lineRule="auto"/>
        <w:ind w:left="120" w:right="128"/>
        <w:rPr>
          <w:w w:val="90"/>
        </w:rPr>
      </w:pPr>
      <w:r w:rsidRPr="008270BA">
        <w:rPr>
          <w:w w:val="90"/>
        </w:rPr>
        <w:t>Filadelfia sigue mejorando su capacidad de investigar casos de VIH activos, el crecimiento reciente y rápido del VIH, y de responder a brotes.</w:t>
      </w:r>
    </w:p>
    <w:p w14:paraId="469750D8" w14:textId="51AC47F9" w:rsidR="005E0127" w:rsidRPr="008270BA" w:rsidRDefault="009D4B53" w:rsidP="005E0127">
      <w:pPr>
        <w:pStyle w:val="BodyText"/>
        <w:spacing w:before="10"/>
        <w:rPr>
          <w:w w:val="90"/>
          <w:sz w:val="15"/>
        </w:rPr>
      </w:pPr>
      <w:r>
        <w:rPr>
          <w:noProof/>
          <w:w w:val="90"/>
        </w:rPr>
        <mc:AlternateContent>
          <mc:Choice Requires="wps">
            <w:drawing>
              <wp:anchor distT="0" distB="0" distL="0" distR="0" simplePos="0" relativeHeight="487611392" behindDoc="1" locked="0" layoutInCell="1" allowOverlap="1" wp14:anchorId="0F7A068C" wp14:editId="6195FA32">
                <wp:simplePos x="0" y="0"/>
                <wp:positionH relativeFrom="page">
                  <wp:posOffset>749300</wp:posOffset>
                </wp:positionH>
                <wp:positionV relativeFrom="paragraph">
                  <wp:posOffset>140970</wp:posOffset>
                </wp:positionV>
                <wp:extent cx="1828800" cy="12700"/>
                <wp:effectExtent l="0" t="0" r="0" b="0"/>
                <wp:wrapTopAndBottom/>
                <wp:docPr id="32" name="336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AAC71" id="336024" o:spid="_x0000_s1026" style="position:absolute;margin-left:59pt;margin-top:11.1pt;width:2in;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" fillcolor="black" stroked="f">
                <w10:wrap type="topAndBottom" anchorx="page"/>
              </v:rect>
            </w:pict>
          </mc:Fallback>
        </mc:AlternateContent>
      </w:r>
    </w:p>
    <w:p w14:paraId="3605501A" w14:textId="77777777" w:rsidR="005E0127" w:rsidRPr="008270BA" w:rsidRDefault="005E0127" w:rsidP="005E0127">
      <w:pPr>
        <w:spacing w:before="104" w:line="235" w:lineRule="auto"/>
        <w:ind w:left="120"/>
        <w:rPr>
          <w:w w:val="90"/>
          <w:sz w:val="16"/>
        </w:rPr>
      </w:pPr>
      <w:r w:rsidRPr="008270BA">
        <w:rPr>
          <w:w w:val="90"/>
          <w:sz w:val="16"/>
          <w:vertAlign w:val="superscript"/>
        </w:rPr>
        <w:t>2</w:t>
      </w:r>
      <w:r w:rsidRPr="008270BA">
        <w:rPr>
          <w:w w:val="90"/>
          <w:sz w:val="16"/>
        </w:rPr>
        <w:t xml:space="preserve"> </w:t>
      </w:r>
      <w:r w:rsidRPr="008270BA">
        <w:rPr>
          <w:color w:val="4C4C4E"/>
          <w:w w:val="90"/>
          <w:sz w:val="16"/>
        </w:rPr>
        <w:t xml:space="preserve">1 Métodos basados en Smith, D.K., </w:t>
      </w:r>
      <w:proofErr w:type="spellStart"/>
      <w:r w:rsidRPr="008270BA">
        <w:rPr>
          <w:color w:val="4C4C4E"/>
          <w:w w:val="90"/>
          <w:sz w:val="16"/>
        </w:rPr>
        <w:t>Handel</w:t>
      </w:r>
      <w:proofErr w:type="spellEnd"/>
      <w:r w:rsidRPr="008270BA">
        <w:rPr>
          <w:color w:val="4C4C4E"/>
          <w:w w:val="90"/>
          <w:sz w:val="16"/>
        </w:rPr>
        <w:t xml:space="preserve">, M.V., y Grey, J. (2018). </w:t>
      </w:r>
      <w:r w:rsidRPr="008270BA">
        <w:rPr>
          <w:color w:val="4C4C4E"/>
          <w:w w:val="90"/>
          <w:sz w:val="16"/>
          <w:lang w:val="en-US"/>
        </w:rPr>
        <w:t xml:space="preserve">Estimates of adults with indications for HIV pre-exposure prophylaxis by jurisdiction, transmission risk group, and race/ethnicity, </w:t>
      </w:r>
      <w:proofErr w:type="spellStart"/>
      <w:r w:rsidRPr="008270BA">
        <w:rPr>
          <w:color w:val="4C4C4E"/>
          <w:w w:val="90"/>
          <w:sz w:val="16"/>
          <w:lang w:val="en-US"/>
        </w:rPr>
        <w:t>Estados</w:t>
      </w:r>
      <w:proofErr w:type="spellEnd"/>
      <w:r w:rsidRPr="008270BA">
        <w:rPr>
          <w:color w:val="4C4C4E"/>
          <w:w w:val="90"/>
          <w:sz w:val="16"/>
          <w:lang w:val="en-US"/>
        </w:rPr>
        <w:t xml:space="preserve"> Unidos 2015. </w:t>
      </w:r>
      <w:proofErr w:type="spellStart"/>
      <w:r w:rsidRPr="008270BA">
        <w:rPr>
          <w:color w:val="4C4C4E"/>
          <w:w w:val="90"/>
          <w:sz w:val="16"/>
        </w:rPr>
        <w:t>Annals</w:t>
      </w:r>
      <w:proofErr w:type="spellEnd"/>
      <w:r w:rsidRPr="008270BA">
        <w:rPr>
          <w:color w:val="4C4C4E"/>
          <w:w w:val="90"/>
          <w:sz w:val="16"/>
        </w:rPr>
        <w:t xml:space="preserve"> </w:t>
      </w:r>
      <w:proofErr w:type="spellStart"/>
      <w:r w:rsidRPr="008270BA">
        <w:rPr>
          <w:color w:val="4C4C4E"/>
          <w:w w:val="90"/>
          <w:sz w:val="16"/>
        </w:rPr>
        <w:t>of</w:t>
      </w:r>
      <w:proofErr w:type="spellEnd"/>
      <w:r w:rsidRPr="008270BA">
        <w:rPr>
          <w:color w:val="4C4C4E"/>
          <w:w w:val="90"/>
          <w:sz w:val="16"/>
        </w:rPr>
        <w:t xml:space="preserve"> </w:t>
      </w:r>
      <w:proofErr w:type="spellStart"/>
      <w:r w:rsidRPr="008270BA">
        <w:rPr>
          <w:color w:val="4C4C4E"/>
          <w:w w:val="90"/>
          <w:sz w:val="16"/>
        </w:rPr>
        <w:t>Epidemiology</w:t>
      </w:r>
      <w:proofErr w:type="spellEnd"/>
      <w:r w:rsidRPr="008270BA">
        <w:rPr>
          <w:color w:val="4C4C4E"/>
          <w:w w:val="90"/>
          <w:sz w:val="16"/>
        </w:rPr>
        <w:t>.</w:t>
      </w:r>
    </w:p>
    <w:p w14:paraId="04DEC2ED" w14:textId="77777777" w:rsidR="005E0127" w:rsidRPr="008270BA" w:rsidRDefault="005E0127" w:rsidP="005E0127">
      <w:pPr>
        <w:pStyle w:val="BodyText"/>
        <w:spacing w:before="9"/>
        <w:rPr>
          <w:w w:val="90"/>
          <w:sz w:val="18"/>
        </w:rPr>
      </w:pPr>
    </w:p>
    <w:p w14:paraId="70E8AA87" w14:textId="77777777" w:rsidR="005E0127" w:rsidRPr="008270BA" w:rsidRDefault="005E0127" w:rsidP="005E0127">
      <w:pPr>
        <w:spacing w:line="254" w:lineRule="auto"/>
        <w:ind w:left="120" w:right="159"/>
        <w:rPr>
          <w:w w:val="90"/>
          <w:sz w:val="16"/>
        </w:rPr>
      </w:pPr>
      <w:r w:rsidRPr="008270BA">
        <w:rPr>
          <w:b/>
          <w:color w:val="4C4C4E"/>
          <w:w w:val="90"/>
          <w:sz w:val="16"/>
        </w:rPr>
        <w:t>Notas</w:t>
      </w:r>
      <w:r w:rsidRPr="008270BA">
        <w:rPr>
          <w:color w:val="4C4C4E"/>
          <w:w w:val="90"/>
          <w:sz w:val="16"/>
        </w:rPr>
        <w:t>: La población de personas de 18 años y más que viven debajo del nivel de pobreza se utiliza como un indicador representativo para los heterosexuales con un mayor riesgo de una infección por VIH. Estimado de la población de MSM basado en la cantidad de MSM activos en los últimos 5 años. La composición de la población racial/étnica de todas las PWID activas se basa en los datos raciales/de etnia para personas con un diagnóstico primario de trastorno por consumo de opioides que participaron en algún servicio de pacientes externos financiado por Medicaid en Filadelfia en 2019. Las estimaciones de población raciales/étnicas para PWID VIH negativo están basadas en la proporción de PWID que son VIH negativo por raza/etnia en los datos de Vigilancia de Conducta de VIH Nacional (</w:t>
      </w:r>
      <w:proofErr w:type="spellStart"/>
      <w:r w:rsidRPr="008270BA">
        <w:rPr>
          <w:color w:val="4C4C4E"/>
          <w:w w:val="90"/>
          <w:sz w:val="16"/>
        </w:rPr>
        <w:t>National</w:t>
      </w:r>
      <w:proofErr w:type="spellEnd"/>
      <w:r w:rsidRPr="008270BA">
        <w:rPr>
          <w:color w:val="4C4C4E"/>
          <w:w w:val="90"/>
          <w:sz w:val="16"/>
        </w:rPr>
        <w:t xml:space="preserve"> HIV </w:t>
      </w:r>
      <w:proofErr w:type="spellStart"/>
      <w:r w:rsidRPr="008270BA">
        <w:rPr>
          <w:color w:val="4C4C4E"/>
          <w:w w:val="90"/>
          <w:sz w:val="16"/>
        </w:rPr>
        <w:t>Behavioral</w:t>
      </w:r>
      <w:proofErr w:type="spellEnd"/>
      <w:r w:rsidRPr="008270BA">
        <w:rPr>
          <w:color w:val="4C4C4E"/>
          <w:w w:val="90"/>
          <w:sz w:val="16"/>
        </w:rPr>
        <w:t xml:space="preserve"> </w:t>
      </w:r>
      <w:proofErr w:type="spellStart"/>
      <w:r w:rsidRPr="008270BA">
        <w:rPr>
          <w:color w:val="4C4C4E"/>
          <w:w w:val="90"/>
          <w:sz w:val="16"/>
        </w:rPr>
        <w:t>Surveillance</w:t>
      </w:r>
      <w:proofErr w:type="spellEnd"/>
      <w:r w:rsidRPr="008270BA">
        <w:rPr>
          <w:color w:val="4C4C4E"/>
          <w:w w:val="90"/>
          <w:sz w:val="16"/>
        </w:rPr>
        <w:t>, NHBS) para Filadelfia en 2018.</w:t>
      </w:r>
    </w:p>
    <w:p w14:paraId="28E2F23C" w14:textId="77777777" w:rsidR="005E0127" w:rsidRPr="008270BA" w:rsidRDefault="005E0127" w:rsidP="005E0127">
      <w:pPr>
        <w:spacing w:line="254" w:lineRule="auto"/>
        <w:rPr>
          <w:w w:val="90"/>
          <w:sz w:val="16"/>
        </w:rPr>
        <w:sectPr w:rsidR="005E0127" w:rsidRPr="008270BA">
          <w:pgSz w:w="12240" w:h="15840"/>
          <w:pgMar w:top="1240" w:right="980" w:bottom="1100" w:left="1060" w:header="731" w:footer="917" w:gutter="0"/>
          <w:cols w:space="720"/>
        </w:sectPr>
      </w:pPr>
    </w:p>
    <w:p w14:paraId="25739E92" w14:textId="77777777" w:rsidR="005E0127" w:rsidRPr="008270BA" w:rsidRDefault="005E0127">
      <w:pPr>
        <w:pStyle w:val="BodyText"/>
        <w:spacing w:before="6"/>
        <w:rPr>
          <w:w w:val="90"/>
          <w:sz w:val="17"/>
        </w:rPr>
      </w:pPr>
    </w:p>
    <w:p w14:paraId="5F971869" w14:textId="77777777" w:rsidR="00A36BA5" w:rsidRPr="008270BA" w:rsidRDefault="008270BA">
      <w:pPr>
        <w:spacing w:before="105"/>
        <w:ind w:left="573" w:right="645"/>
        <w:jc w:val="center"/>
        <w:rPr>
          <w:w w:val="90"/>
          <w:sz w:val="30"/>
        </w:rPr>
      </w:pPr>
      <w:bookmarkStart w:id="5" w:name="_TOC_250019"/>
      <w:bookmarkEnd w:id="5"/>
      <w:r w:rsidRPr="008270BA">
        <w:rPr>
          <w:w w:val="90"/>
          <w:sz w:val="30"/>
        </w:rPr>
        <w:t>Limitaciones</w:t>
      </w:r>
    </w:p>
    <w:p w14:paraId="42905806" w14:textId="77777777" w:rsidR="00A36BA5" w:rsidRPr="008270BA" w:rsidRDefault="008270BA">
      <w:pPr>
        <w:pStyle w:val="BodyText"/>
        <w:spacing w:before="311" w:line="256" w:lineRule="auto"/>
        <w:ind w:left="120" w:right="145"/>
        <w:rPr>
          <w:w w:val="90"/>
        </w:rPr>
      </w:pPr>
      <w:r w:rsidRPr="008270BA">
        <w:rPr>
          <w:w w:val="90"/>
        </w:rPr>
        <w:t>Los datos sobre resultados de VIH positivo entre personas transgénero y de género no binario han mejorado, pero sigue habiendo vacíos de información. El PDPH recopila e informa la identidad de género cuando los datos están disponibles. Sin embargo, esto puede ser limitado. Hay poca información sobre discapacidades entre PLWH. Los datos actuales no capturan adecuadamente a las personas con discapacidades visuales, de audición, cognitivas y motoras. Esto es importante, dado que más de la mitad de las PLWH en Filadelfia son mayores de 55 años y con frecuencia las discapacidades se adquieren con el tiempo.</w:t>
      </w:r>
    </w:p>
    <w:p w14:paraId="368DBCE4" w14:textId="77777777" w:rsidR="00A36BA5" w:rsidRPr="008270BA" w:rsidRDefault="008270BA">
      <w:pPr>
        <w:pStyle w:val="Heading1"/>
        <w:ind w:right="648"/>
        <w:rPr>
          <w:w w:val="90"/>
        </w:rPr>
      </w:pPr>
      <w:bookmarkStart w:id="6" w:name="_TOC_250018"/>
      <w:r w:rsidRPr="008270BA">
        <w:rPr>
          <w:w w:val="90"/>
        </w:rPr>
        <w:t xml:space="preserve">Análisis </w:t>
      </w:r>
      <w:bookmarkEnd w:id="6"/>
      <w:r w:rsidRPr="008270BA">
        <w:rPr>
          <w:w w:val="90"/>
        </w:rPr>
        <w:t>situacional</w:t>
      </w:r>
    </w:p>
    <w:p w14:paraId="76944114" w14:textId="77777777" w:rsidR="00A36BA5" w:rsidRPr="008270BA" w:rsidRDefault="00A36BA5">
      <w:pPr>
        <w:pStyle w:val="BodyText"/>
        <w:spacing w:before="1"/>
        <w:rPr>
          <w:b/>
          <w:w w:val="90"/>
          <w:sz w:val="29"/>
        </w:rPr>
      </w:pPr>
    </w:p>
    <w:p w14:paraId="30919CB2" w14:textId="77777777" w:rsidR="00A36BA5" w:rsidRPr="008270BA" w:rsidRDefault="008270BA">
      <w:pPr>
        <w:pStyle w:val="BodyText"/>
        <w:spacing w:before="1" w:line="261" w:lineRule="auto"/>
        <w:ind w:left="380" w:right="529"/>
        <w:jc w:val="both"/>
        <w:rPr>
          <w:w w:val="90"/>
        </w:rPr>
      </w:pPr>
      <w:r w:rsidRPr="008270BA">
        <w:rPr>
          <w:w w:val="90"/>
        </w:rPr>
        <w:t>La cantidad de nuevos diagnósticos de VIH en Filadelfia ha estado disminuyendo durante más de diez años. Estamos listos para poner fin a la epidemia de VIH en Filadelfia.</w:t>
      </w:r>
    </w:p>
    <w:p w14:paraId="5D351907" w14:textId="77777777" w:rsidR="00A36BA5" w:rsidRPr="008270BA" w:rsidRDefault="00A36BA5">
      <w:pPr>
        <w:pStyle w:val="BodyText"/>
        <w:spacing w:before="2"/>
        <w:rPr>
          <w:w w:val="90"/>
        </w:rPr>
      </w:pPr>
    </w:p>
    <w:p w14:paraId="590DFC81" w14:textId="77777777" w:rsidR="00A36BA5" w:rsidRPr="008270BA" w:rsidRDefault="008270BA">
      <w:pPr>
        <w:pStyle w:val="BodyText"/>
        <w:spacing w:line="254" w:lineRule="auto"/>
        <w:ind w:left="380" w:right="659"/>
        <w:jc w:val="both"/>
        <w:rPr>
          <w:w w:val="90"/>
        </w:rPr>
      </w:pPr>
      <w:r w:rsidRPr="008270BA">
        <w:rPr>
          <w:w w:val="90"/>
        </w:rPr>
        <w:t>Filadelfia es la ciudad más grande de Pensilvania, con una población de aproximadamente 1.5 millones de personas</w:t>
      </w:r>
      <w:r w:rsidRPr="008270BA">
        <w:rPr>
          <w:w w:val="90"/>
          <w:sz w:val="16"/>
        </w:rPr>
        <w:t>9</w:t>
      </w:r>
      <w:r w:rsidRPr="008270BA">
        <w:rPr>
          <w:w w:val="90"/>
        </w:rPr>
        <w:t>, y es hogar de 18,798 personas que viven con VIH (PLWH)</w:t>
      </w:r>
      <w:r w:rsidRPr="008270BA">
        <w:rPr>
          <w:w w:val="90"/>
          <w:sz w:val="16"/>
        </w:rPr>
        <w:t>2</w:t>
      </w:r>
      <w:r w:rsidRPr="008270BA">
        <w:rPr>
          <w:w w:val="90"/>
        </w:rPr>
        <w:t>. El plan para Poner Fin a la Epidemia de VIH (</w:t>
      </w:r>
      <w:proofErr w:type="spellStart"/>
      <w:r w:rsidRPr="008270BA">
        <w:rPr>
          <w:w w:val="90"/>
        </w:rPr>
        <w:t>Ending</w:t>
      </w:r>
      <w:proofErr w:type="spellEnd"/>
      <w:r w:rsidRPr="008270BA">
        <w:rPr>
          <w:w w:val="90"/>
        </w:rPr>
        <w:t xml:space="preserve"> </w:t>
      </w:r>
      <w:proofErr w:type="spellStart"/>
      <w:r w:rsidRPr="008270BA">
        <w:rPr>
          <w:w w:val="90"/>
        </w:rPr>
        <w:t>the</w:t>
      </w:r>
      <w:proofErr w:type="spellEnd"/>
      <w:r w:rsidRPr="008270BA">
        <w:rPr>
          <w:w w:val="90"/>
        </w:rPr>
        <w:t xml:space="preserve"> HIV </w:t>
      </w:r>
      <w:proofErr w:type="spellStart"/>
      <w:r w:rsidRPr="008270BA">
        <w:rPr>
          <w:w w:val="90"/>
        </w:rPr>
        <w:t>Epidemic</w:t>
      </w:r>
      <w:proofErr w:type="spellEnd"/>
      <w:r w:rsidRPr="008270BA">
        <w:rPr>
          <w:w w:val="90"/>
        </w:rPr>
        <w:t>, EHE) de Filadelfia reducirá los nuevos diagnósticos en Filadelfia en un 75% en cinco años, de manera consistente con la Iniciativa EHE federal.</w:t>
      </w:r>
    </w:p>
    <w:p w14:paraId="089CCE56" w14:textId="77777777" w:rsidR="00A36BA5" w:rsidRPr="008270BA" w:rsidRDefault="00A36BA5">
      <w:pPr>
        <w:pStyle w:val="BodyText"/>
        <w:spacing w:before="9"/>
        <w:rPr>
          <w:w w:val="90"/>
        </w:rPr>
      </w:pPr>
    </w:p>
    <w:p w14:paraId="02A47B2F" w14:textId="77777777" w:rsidR="00A36BA5" w:rsidRPr="008270BA" w:rsidRDefault="008270BA">
      <w:pPr>
        <w:pStyle w:val="BodyText"/>
        <w:spacing w:line="254" w:lineRule="auto"/>
        <w:ind w:left="380" w:right="344"/>
        <w:rPr>
          <w:w w:val="90"/>
        </w:rPr>
      </w:pPr>
      <w:r w:rsidRPr="008270BA">
        <w:rPr>
          <w:w w:val="90"/>
        </w:rPr>
        <w:t xml:space="preserve">Durante más de 30 años, la Oficina Coordinadora de Actividades relativas al SIDA (AIDS </w:t>
      </w:r>
      <w:proofErr w:type="spellStart"/>
      <w:r w:rsidRPr="008270BA">
        <w:rPr>
          <w:w w:val="90"/>
        </w:rPr>
        <w:t>Activities</w:t>
      </w:r>
      <w:proofErr w:type="spellEnd"/>
      <w:r w:rsidRPr="008270BA">
        <w:rPr>
          <w:w w:val="90"/>
        </w:rPr>
        <w:t xml:space="preserve"> </w:t>
      </w:r>
      <w:proofErr w:type="spellStart"/>
      <w:r w:rsidRPr="008270BA">
        <w:rPr>
          <w:w w:val="90"/>
        </w:rPr>
        <w:t>Coordinating</w:t>
      </w:r>
      <w:proofErr w:type="spellEnd"/>
      <w:r w:rsidRPr="008270BA">
        <w:rPr>
          <w:w w:val="90"/>
        </w:rPr>
        <w:t xml:space="preserve"> Office, AACO) del PDPH ha realizado tareas de recopilación y análisis de datos de salud pública sobre VIH, y ha brindado actividades de prevención, atención y planificación de VIH en colaboración con las comunidades más afectadas por el VIH. Como el receptor de financiación federal, estatal y local, el PDPH coordina y monitorea los servicios para personas que viven con VIH o que están en riesgo de contraer VIH. Esto incluye una extensa red de instalaciones de atención médica y proveedores de servicios esenciales: nueve centros de salud de la ciudad, 18 centros médicos que brindan atención por VIH (incluidos los centros médicos de la ciudad), y 45 centros que brindan PrEP.</w:t>
      </w:r>
    </w:p>
    <w:p w14:paraId="7B16678D" w14:textId="77777777" w:rsidR="00A36BA5" w:rsidRPr="008270BA" w:rsidRDefault="00A36BA5">
      <w:pPr>
        <w:pStyle w:val="BodyText"/>
        <w:spacing w:before="2"/>
        <w:rPr>
          <w:w w:val="90"/>
          <w:sz w:val="27"/>
        </w:rPr>
      </w:pPr>
    </w:p>
    <w:p w14:paraId="258F963F" w14:textId="77777777" w:rsidR="00A36BA5" w:rsidRPr="008270BA" w:rsidRDefault="008270BA">
      <w:pPr>
        <w:pStyle w:val="BodyText"/>
        <w:spacing w:line="252" w:lineRule="auto"/>
        <w:ind w:left="380" w:right="558"/>
        <w:rPr>
          <w:w w:val="90"/>
        </w:rPr>
      </w:pPr>
      <w:r w:rsidRPr="008270BA">
        <w:rPr>
          <w:w w:val="90"/>
        </w:rPr>
        <w:t>Los socios del PDPH incluyen los Departamentos de Salud de Pensilvania y Nueva Jersey, el Departamento de Prisiones de Filadelfia (</w:t>
      </w:r>
      <w:proofErr w:type="spellStart"/>
      <w:r w:rsidRPr="008270BA">
        <w:rPr>
          <w:w w:val="90"/>
        </w:rPr>
        <w:t>Philadelphia</w:t>
      </w:r>
      <w:proofErr w:type="spellEnd"/>
      <w:r w:rsidRPr="008270BA">
        <w:rPr>
          <w:w w:val="90"/>
        </w:rPr>
        <w:t xml:space="preserve"> </w:t>
      </w:r>
      <w:proofErr w:type="spellStart"/>
      <w:r w:rsidRPr="008270BA">
        <w:rPr>
          <w:w w:val="90"/>
        </w:rPr>
        <w:t>Department</w:t>
      </w:r>
      <w:proofErr w:type="spellEnd"/>
      <w:r w:rsidRPr="008270BA">
        <w:rPr>
          <w:w w:val="90"/>
        </w:rPr>
        <w:t xml:space="preserve"> </w:t>
      </w:r>
      <w:proofErr w:type="spellStart"/>
      <w:r w:rsidRPr="008270BA">
        <w:rPr>
          <w:w w:val="90"/>
        </w:rPr>
        <w:t>of</w:t>
      </w:r>
      <w:proofErr w:type="spellEnd"/>
      <w:r w:rsidRPr="008270BA">
        <w:rPr>
          <w:w w:val="90"/>
        </w:rPr>
        <w:t xml:space="preserve"> </w:t>
      </w:r>
      <w:proofErr w:type="spellStart"/>
      <w:r w:rsidRPr="008270BA">
        <w:rPr>
          <w:w w:val="90"/>
        </w:rPr>
        <w:t>Prisons</w:t>
      </w:r>
      <w:proofErr w:type="spellEnd"/>
      <w:r w:rsidRPr="008270BA">
        <w:rPr>
          <w:w w:val="90"/>
        </w:rPr>
        <w:t>), el Departamento de Salud Conductual y Discapacidades Intelectuales de Filadelfia (</w:t>
      </w:r>
      <w:proofErr w:type="spellStart"/>
      <w:r w:rsidRPr="008270BA">
        <w:rPr>
          <w:w w:val="90"/>
        </w:rPr>
        <w:t>Philadelphia</w:t>
      </w:r>
      <w:proofErr w:type="spellEnd"/>
      <w:r w:rsidRPr="008270BA">
        <w:rPr>
          <w:w w:val="90"/>
        </w:rPr>
        <w:t xml:space="preserve"> </w:t>
      </w:r>
      <w:proofErr w:type="spellStart"/>
      <w:r w:rsidRPr="008270BA">
        <w:rPr>
          <w:w w:val="90"/>
        </w:rPr>
        <w:t>Department</w:t>
      </w:r>
      <w:proofErr w:type="spellEnd"/>
      <w:r w:rsidRPr="008270BA">
        <w:rPr>
          <w:w w:val="90"/>
        </w:rPr>
        <w:t xml:space="preserve"> </w:t>
      </w:r>
      <w:proofErr w:type="spellStart"/>
      <w:r w:rsidRPr="008270BA">
        <w:rPr>
          <w:w w:val="90"/>
        </w:rPr>
        <w:t>of</w:t>
      </w:r>
      <w:proofErr w:type="spellEnd"/>
      <w:r w:rsidRPr="008270BA">
        <w:rPr>
          <w:w w:val="90"/>
        </w:rPr>
        <w:t xml:space="preserve"> </w:t>
      </w:r>
      <w:proofErr w:type="spellStart"/>
      <w:r w:rsidRPr="008270BA">
        <w:rPr>
          <w:w w:val="90"/>
        </w:rPr>
        <w:t>Behavioral</w:t>
      </w:r>
      <w:proofErr w:type="spellEnd"/>
      <w:r w:rsidRPr="008270BA">
        <w:rPr>
          <w:w w:val="90"/>
        </w:rPr>
        <w:t xml:space="preserve"> </w:t>
      </w:r>
      <w:proofErr w:type="spellStart"/>
      <w:r w:rsidRPr="008270BA">
        <w:rPr>
          <w:w w:val="90"/>
        </w:rPr>
        <w:t>Health</w:t>
      </w:r>
      <w:proofErr w:type="spellEnd"/>
      <w:r w:rsidRPr="008270BA">
        <w:rPr>
          <w:w w:val="90"/>
        </w:rPr>
        <w:t xml:space="preserve"> and </w:t>
      </w:r>
      <w:proofErr w:type="spellStart"/>
      <w:r w:rsidRPr="008270BA">
        <w:rPr>
          <w:w w:val="90"/>
        </w:rPr>
        <w:t>Intellectual</w:t>
      </w:r>
      <w:proofErr w:type="spellEnd"/>
      <w:r w:rsidRPr="008270BA">
        <w:rPr>
          <w:w w:val="90"/>
        </w:rPr>
        <w:t xml:space="preserve"> </w:t>
      </w:r>
      <w:proofErr w:type="spellStart"/>
      <w:r w:rsidRPr="008270BA">
        <w:rPr>
          <w:w w:val="90"/>
        </w:rPr>
        <w:t>Disabilities</w:t>
      </w:r>
      <w:proofErr w:type="spellEnd"/>
      <w:r w:rsidRPr="008270BA">
        <w:rPr>
          <w:w w:val="90"/>
        </w:rPr>
        <w:t>) y otras divisiones del PDPH, como la División de Control de Enfermedades (</w:t>
      </w:r>
      <w:proofErr w:type="spellStart"/>
      <w:r w:rsidRPr="008270BA">
        <w:rPr>
          <w:w w:val="90"/>
        </w:rPr>
        <w:t>Division</w:t>
      </w:r>
      <w:proofErr w:type="spellEnd"/>
      <w:r w:rsidRPr="008270BA">
        <w:rPr>
          <w:w w:val="90"/>
        </w:rPr>
        <w:t xml:space="preserve"> </w:t>
      </w:r>
      <w:proofErr w:type="spellStart"/>
      <w:r w:rsidRPr="008270BA">
        <w:rPr>
          <w:w w:val="90"/>
        </w:rPr>
        <w:t>of</w:t>
      </w:r>
      <w:proofErr w:type="spellEnd"/>
      <w:r w:rsidRPr="008270BA">
        <w:rPr>
          <w:w w:val="90"/>
        </w:rPr>
        <w:t xml:space="preserve"> </w:t>
      </w:r>
      <w:proofErr w:type="spellStart"/>
      <w:r w:rsidRPr="008270BA">
        <w:rPr>
          <w:w w:val="90"/>
        </w:rPr>
        <w:t>Disease</w:t>
      </w:r>
      <w:proofErr w:type="spellEnd"/>
      <w:r w:rsidRPr="008270BA">
        <w:rPr>
          <w:w w:val="90"/>
        </w:rPr>
        <w:t xml:space="preserve"> Control), que incluye el Programa de Control ETS (STD Control </w:t>
      </w:r>
      <w:proofErr w:type="spellStart"/>
      <w:r w:rsidRPr="008270BA">
        <w:rPr>
          <w:w w:val="90"/>
        </w:rPr>
        <w:t>Program</w:t>
      </w:r>
      <w:proofErr w:type="spellEnd"/>
      <w:r w:rsidRPr="008270BA">
        <w:rPr>
          <w:w w:val="90"/>
        </w:rPr>
        <w:t xml:space="preserve">) y los Programas de Hepatitis Viral (Viral Hepatitis </w:t>
      </w:r>
      <w:proofErr w:type="spellStart"/>
      <w:r w:rsidRPr="008270BA">
        <w:rPr>
          <w:w w:val="90"/>
        </w:rPr>
        <w:t>Programs</w:t>
      </w:r>
      <w:proofErr w:type="spellEnd"/>
      <w:r w:rsidRPr="008270BA">
        <w:rPr>
          <w:w w:val="90"/>
        </w:rPr>
        <w:t>), y la División de Prevención de Uso de Sustancias y Reducción de Daños (</w:t>
      </w:r>
      <w:proofErr w:type="spellStart"/>
      <w:r w:rsidRPr="008270BA">
        <w:rPr>
          <w:w w:val="90"/>
        </w:rPr>
        <w:t>Division</w:t>
      </w:r>
      <w:proofErr w:type="spellEnd"/>
      <w:r w:rsidRPr="008270BA">
        <w:rPr>
          <w:w w:val="90"/>
        </w:rPr>
        <w:t xml:space="preserve"> </w:t>
      </w:r>
      <w:proofErr w:type="spellStart"/>
      <w:r w:rsidRPr="008270BA">
        <w:rPr>
          <w:w w:val="90"/>
        </w:rPr>
        <w:t>of</w:t>
      </w:r>
      <w:proofErr w:type="spellEnd"/>
      <w:r w:rsidRPr="008270BA">
        <w:rPr>
          <w:w w:val="90"/>
        </w:rPr>
        <w:t xml:space="preserve"> </w:t>
      </w:r>
      <w:proofErr w:type="spellStart"/>
      <w:r w:rsidRPr="008270BA">
        <w:rPr>
          <w:w w:val="90"/>
        </w:rPr>
        <w:t>Substance</w:t>
      </w:r>
      <w:proofErr w:type="spellEnd"/>
      <w:r w:rsidRPr="008270BA">
        <w:rPr>
          <w:w w:val="90"/>
        </w:rPr>
        <w:t xml:space="preserve"> Use </w:t>
      </w:r>
      <w:proofErr w:type="spellStart"/>
      <w:r w:rsidRPr="008270BA">
        <w:rPr>
          <w:w w:val="90"/>
        </w:rPr>
        <w:t>Prevention</w:t>
      </w:r>
      <w:proofErr w:type="spellEnd"/>
      <w:r w:rsidRPr="008270BA">
        <w:rPr>
          <w:w w:val="90"/>
        </w:rPr>
        <w:t xml:space="preserve"> and </w:t>
      </w:r>
      <w:proofErr w:type="spellStart"/>
      <w:r w:rsidRPr="008270BA">
        <w:rPr>
          <w:w w:val="90"/>
        </w:rPr>
        <w:t>Harm</w:t>
      </w:r>
      <w:proofErr w:type="spellEnd"/>
      <w:r w:rsidRPr="008270BA">
        <w:rPr>
          <w:w w:val="90"/>
        </w:rPr>
        <w:t xml:space="preserve"> </w:t>
      </w:r>
      <w:proofErr w:type="spellStart"/>
      <w:r w:rsidRPr="008270BA">
        <w:rPr>
          <w:w w:val="90"/>
        </w:rPr>
        <w:t>Reduction</w:t>
      </w:r>
      <w:proofErr w:type="spellEnd"/>
      <w:r w:rsidRPr="008270BA">
        <w:rPr>
          <w:w w:val="90"/>
        </w:rPr>
        <w:t>). El PDPH también coordina con los proveedores de atención médica comunitarios, los departamentos de emergencias de hospitales, Centros de Salud Calificados a nivel Federal, y diversas organizaciones de servicios sociales.</w:t>
      </w:r>
    </w:p>
    <w:p w14:paraId="1083A969" w14:textId="77777777" w:rsidR="00A36BA5" w:rsidRPr="008270BA" w:rsidRDefault="00A36BA5">
      <w:pPr>
        <w:pStyle w:val="BodyText"/>
        <w:spacing w:before="1"/>
        <w:rPr>
          <w:w w:val="90"/>
          <w:sz w:val="27"/>
        </w:rPr>
      </w:pPr>
    </w:p>
    <w:p w14:paraId="2606CF4D" w14:textId="77777777" w:rsidR="00A36BA5" w:rsidRPr="008270BA" w:rsidRDefault="008270BA">
      <w:pPr>
        <w:pStyle w:val="BodyText"/>
        <w:spacing w:line="254" w:lineRule="auto"/>
        <w:ind w:left="380" w:right="495"/>
        <w:rPr>
          <w:w w:val="90"/>
        </w:rPr>
      </w:pPr>
      <w:r w:rsidRPr="008270BA">
        <w:rPr>
          <w:w w:val="90"/>
        </w:rPr>
        <w:t xml:space="preserve">La Oficina de Planificación relativa al VIH (Office </w:t>
      </w:r>
      <w:proofErr w:type="spellStart"/>
      <w:r w:rsidRPr="008270BA">
        <w:rPr>
          <w:w w:val="90"/>
        </w:rPr>
        <w:t>of</w:t>
      </w:r>
      <w:proofErr w:type="spellEnd"/>
      <w:r w:rsidRPr="008270BA">
        <w:rPr>
          <w:w w:val="90"/>
        </w:rPr>
        <w:t xml:space="preserve"> HIV </w:t>
      </w:r>
      <w:proofErr w:type="spellStart"/>
      <w:r w:rsidRPr="008270BA">
        <w:rPr>
          <w:w w:val="90"/>
        </w:rPr>
        <w:t>Planning</w:t>
      </w:r>
      <w:proofErr w:type="spellEnd"/>
      <w:r w:rsidRPr="008270BA">
        <w:rPr>
          <w:w w:val="90"/>
        </w:rPr>
        <w:t xml:space="preserve">) apoya al Consejo de Planificación de HIV Integrada (HIV </w:t>
      </w:r>
      <w:proofErr w:type="spellStart"/>
      <w:r w:rsidRPr="008270BA">
        <w:rPr>
          <w:w w:val="90"/>
        </w:rPr>
        <w:t>Integrated</w:t>
      </w:r>
      <w:proofErr w:type="spellEnd"/>
      <w:r w:rsidRPr="008270BA">
        <w:rPr>
          <w:w w:val="90"/>
        </w:rPr>
        <w:t xml:space="preserve"> </w:t>
      </w:r>
      <w:proofErr w:type="spellStart"/>
      <w:r w:rsidRPr="008270BA">
        <w:rPr>
          <w:w w:val="90"/>
        </w:rPr>
        <w:t>Planning</w:t>
      </w:r>
      <w:proofErr w:type="spellEnd"/>
      <w:r w:rsidRPr="008270BA">
        <w:rPr>
          <w:w w:val="90"/>
        </w:rPr>
        <w:t xml:space="preserve"> Council, HIPC) del Área Metropolitana </w:t>
      </w:r>
      <w:r w:rsidRPr="008270BA">
        <w:rPr>
          <w:w w:val="90"/>
        </w:rPr>
        <w:lastRenderedPageBreak/>
        <w:t xml:space="preserve">Elegible (Eligible </w:t>
      </w:r>
      <w:proofErr w:type="spellStart"/>
      <w:r w:rsidRPr="008270BA">
        <w:rPr>
          <w:w w:val="90"/>
        </w:rPr>
        <w:t>Metropolitan</w:t>
      </w:r>
      <w:proofErr w:type="spellEnd"/>
      <w:r w:rsidRPr="008270BA">
        <w:rPr>
          <w:w w:val="90"/>
        </w:rPr>
        <w:t xml:space="preserve"> </w:t>
      </w:r>
      <w:proofErr w:type="spellStart"/>
      <w:r w:rsidRPr="008270BA">
        <w:rPr>
          <w:w w:val="90"/>
        </w:rPr>
        <w:t>Area</w:t>
      </w:r>
      <w:proofErr w:type="spellEnd"/>
      <w:r w:rsidRPr="008270BA">
        <w:rPr>
          <w:w w:val="90"/>
        </w:rPr>
        <w:t xml:space="preserve">, EMA) de Filadelfia, que es el órgano de toma de decisiones que planifica servicios de atención y prevención del VIH en Filadelfia y las áreas aledañas. El HIPC tiene en cuenta la financiación pública y privada a lo largo de todo su proceso de planificación para maximizar la cantidad de servicios y reducir la duplicación de esfuerzos. El Borrador del Plan EHE (EHE Draft Plan) está basado en el “Plan Integrado de Prevención y Atención del VIH de la EMA de Filadelfia 2017-2021” (“2017-2021 </w:t>
      </w:r>
      <w:proofErr w:type="spellStart"/>
      <w:r w:rsidRPr="008270BA">
        <w:rPr>
          <w:w w:val="90"/>
        </w:rPr>
        <w:t>Philadelphia</w:t>
      </w:r>
      <w:proofErr w:type="spellEnd"/>
      <w:r w:rsidRPr="008270BA">
        <w:rPr>
          <w:w w:val="90"/>
        </w:rPr>
        <w:t xml:space="preserve"> EMA </w:t>
      </w:r>
      <w:proofErr w:type="spellStart"/>
      <w:r w:rsidRPr="008270BA">
        <w:rPr>
          <w:w w:val="90"/>
        </w:rPr>
        <w:t>Integrated</w:t>
      </w:r>
      <w:proofErr w:type="spellEnd"/>
      <w:r w:rsidRPr="008270BA">
        <w:rPr>
          <w:w w:val="90"/>
        </w:rPr>
        <w:t xml:space="preserve"> HIV </w:t>
      </w:r>
      <w:proofErr w:type="spellStart"/>
      <w:r w:rsidRPr="008270BA">
        <w:rPr>
          <w:w w:val="90"/>
        </w:rPr>
        <w:t>Prevention</w:t>
      </w:r>
      <w:proofErr w:type="spellEnd"/>
      <w:r w:rsidRPr="008270BA">
        <w:rPr>
          <w:w w:val="90"/>
        </w:rPr>
        <w:t xml:space="preserve"> and </w:t>
      </w:r>
      <w:proofErr w:type="spellStart"/>
      <w:r w:rsidRPr="008270BA">
        <w:rPr>
          <w:w w:val="90"/>
        </w:rPr>
        <w:t>Care</w:t>
      </w:r>
      <w:proofErr w:type="spellEnd"/>
      <w:r w:rsidRPr="008270BA">
        <w:rPr>
          <w:w w:val="90"/>
        </w:rPr>
        <w:t xml:space="preserve"> Plan”), elaborado por la Oficina de Planificación relativa al VIH en colaboración con el PDPH. El Borrador del Plan EHE mantiene y expande los servicios esenciales al tiempo que incorpora enfoques novedosos para poner fin a la epidemia de VIH en Filadelfia.</w:t>
      </w:r>
    </w:p>
    <w:p w14:paraId="6E4B929D" w14:textId="77777777" w:rsidR="00A36BA5" w:rsidRPr="008270BA" w:rsidRDefault="00A36BA5">
      <w:pPr>
        <w:pStyle w:val="BodyText"/>
        <w:rPr>
          <w:w w:val="90"/>
          <w:sz w:val="26"/>
        </w:rPr>
      </w:pPr>
    </w:p>
    <w:p w14:paraId="6444827A" w14:textId="77777777" w:rsidR="00A36BA5" w:rsidRPr="008270BA" w:rsidRDefault="008270BA">
      <w:pPr>
        <w:pStyle w:val="BodyText"/>
        <w:spacing w:before="1" w:line="254" w:lineRule="auto"/>
        <w:ind w:left="380" w:right="546"/>
        <w:rPr>
          <w:w w:val="90"/>
        </w:rPr>
      </w:pPr>
      <w:r w:rsidRPr="008270BA">
        <w:rPr>
          <w:w w:val="90"/>
        </w:rPr>
        <w:t>Los aportes al plan EHE se extienden más allá del PDPH y los socios arriba descritos. Los aportes directos de consumidores de programas de prevención y atención del VIH financiados por el PDPH han sido continuos y extensos. En los últimos 3 años, el PDPH ha realizado entrevistas con casi 2,900 personas, que incluían a más de 500 PLWH que no estaban recibiendo atención y participantes de los Proyectos de Monitoreo Médico y de Vigilancia de Conducta de VIH Nacional. Como parte del proceso de inscripción en la Administración de Casos Médicos de VIH operado por el PDPH, se recopiló información sobre necesidades satisfechas e insatisfechas de más de 5,700 PLWH durante el proceso de admisión. Otra importante fuente de comentarios directos de los consumidores es el HIPC de Filadelfia, donde se fomenta el empoderamiento de las voces de la comunidad en todas sus actividades de evaluación y planificación.</w:t>
      </w:r>
    </w:p>
    <w:p w14:paraId="334E5C76" w14:textId="77777777" w:rsidR="00A36BA5" w:rsidRPr="008270BA" w:rsidRDefault="008270BA">
      <w:pPr>
        <w:pStyle w:val="BodyText"/>
        <w:spacing w:before="194" w:line="256" w:lineRule="auto"/>
        <w:ind w:left="380" w:right="500"/>
        <w:rPr>
          <w:w w:val="90"/>
        </w:rPr>
      </w:pPr>
      <w:r w:rsidRPr="008270BA">
        <w:rPr>
          <w:w w:val="90"/>
        </w:rPr>
        <w:t>Aproximadamente 100 consumidores participan cada año en el Comité Positivo del HIPC. Por último, hay comentarios de investigadores líderes en VIH disponibles mediante la relación continua del Departamento con el Centro de Investigación de SIDA local financiado por el Instituto Nacional de Salud (</w:t>
      </w:r>
      <w:proofErr w:type="spellStart"/>
      <w:r w:rsidRPr="008270BA">
        <w:rPr>
          <w:w w:val="90"/>
        </w:rPr>
        <w:t>National</w:t>
      </w:r>
      <w:proofErr w:type="spellEnd"/>
      <w:r w:rsidRPr="008270BA">
        <w:rPr>
          <w:w w:val="90"/>
        </w:rPr>
        <w:t xml:space="preserve"> </w:t>
      </w:r>
      <w:proofErr w:type="spellStart"/>
      <w:r w:rsidRPr="008270BA">
        <w:rPr>
          <w:w w:val="90"/>
        </w:rPr>
        <w:t>Institutes</w:t>
      </w:r>
      <w:proofErr w:type="spellEnd"/>
      <w:r w:rsidRPr="008270BA">
        <w:rPr>
          <w:w w:val="90"/>
        </w:rPr>
        <w:t xml:space="preserve"> </w:t>
      </w:r>
      <w:proofErr w:type="spellStart"/>
      <w:r w:rsidRPr="008270BA">
        <w:rPr>
          <w:w w:val="90"/>
        </w:rPr>
        <w:t>of</w:t>
      </w:r>
      <w:proofErr w:type="spellEnd"/>
      <w:r w:rsidRPr="008270BA">
        <w:rPr>
          <w:w w:val="90"/>
        </w:rPr>
        <w:t xml:space="preserve"> </w:t>
      </w:r>
      <w:proofErr w:type="spellStart"/>
      <w:r w:rsidRPr="008270BA">
        <w:rPr>
          <w:w w:val="90"/>
        </w:rPr>
        <w:t>Health</w:t>
      </w:r>
      <w:proofErr w:type="spellEnd"/>
      <w:r w:rsidRPr="008270BA">
        <w:rPr>
          <w:w w:val="90"/>
        </w:rPr>
        <w:t>, NIH). Durante toda la vida del plan EHE, el PDPH seguirá dependiendo de estas y otras actividades de participación comunitaria para informar la planificación para el VIH, implementación del programa, y evaluación.</w:t>
      </w:r>
    </w:p>
    <w:p w14:paraId="603DE20C" w14:textId="77777777" w:rsidR="00A36BA5" w:rsidRPr="008270BA" w:rsidRDefault="00A36BA5">
      <w:pPr>
        <w:pStyle w:val="BodyText"/>
        <w:rPr>
          <w:w w:val="90"/>
          <w:sz w:val="37"/>
        </w:rPr>
      </w:pPr>
    </w:p>
    <w:p w14:paraId="4115D5A1" w14:textId="77777777" w:rsidR="00A36BA5" w:rsidRPr="008270BA" w:rsidRDefault="008270BA">
      <w:pPr>
        <w:pStyle w:val="Heading2"/>
        <w:spacing w:before="1"/>
        <w:ind w:right="644"/>
        <w:rPr>
          <w:w w:val="90"/>
        </w:rPr>
      </w:pPr>
      <w:bookmarkStart w:id="7" w:name="_TOC_250017"/>
      <w:r w:rsidRPr="008270BA">
        <w:rPr>
          <w:w w:val="90"/>
        </w:rPr>
        <w:t xml:space="preserve">Evaluación de </w:t>
      </w:r>
      <w:bookmarkEnd w:id="7"/>
      <w:r w:rsidRPr="008270BA">
        <w:rPr>
          <w:w w:val="90"/>
        </w:rPr>
        <w:t>necesidades</w:t>
      </w:r>
    </w:p>
    <w:p w14:paraId="7DB15135" w14:textId="77777777" w:rsidR="00A36BA5" w:rsidRPr="008270BA" w:rsidRDefault="00A36BA5">
      <w:pPr>
        <w:pStyle w:val="BodyText"/>
        <w:spacing w:before="4"/>
        <w:rPr>
          <w:w w:val="90"/>
          <w:sz w:val="27"/>
        </w:rPr>
      </w:pPr>
    </w:p>
    <w:p w14:paraId="168568A6" w14:textId="77777777" w:rsidR="00A36BA5" w:rsidRPr="008270BA" w:rsidRDefault="008270BA">
      <w:pPr>
        <w:pStyle w:val="BodyText"/>
        <w:spacing w:before="1" w:line="254" w:lineRule="auto"/>
        <w:ind w:left="380" w:right="469"/>
        <w:rPr>
          <w:w w:val="90"/>
        </w:rPr>
      </w:pPr>
      <w:r w:rsidRPr="008270BA">
        <w:rPr>
          <w:w w:val="90"/>
        </w:rPr>
        <w:t>La salud está influida por varios factores, como entorno social, condiciones económicas, accesibilidad de servicios, comportamientos de las personas, y la infraestructura del sistema de atención médica. Filadelfia es uno de los 48 condados en EE. UU. que tienen la incidencia y prevalencia más alta de VIH. Si bien los nuevos casos diagnosticados de VIH en Filadelfia han disminuido, sigue habiendo mucho trabajo por hacer en diversas comunidades. Los obstáculos como la pobreza, la indigencia, el estigma del VIH, una crisis de opioides cada vez mayor, y otros determinantes sociales de salud siguen limitando los esfuerzos locales por poner fin a la epidemia de VIH.</w:t>
      </w:r>
    </w:p>
    <w:p w14:paraId="170C6EAA" w14:textId="77777777" w:rsidR="00A36BA5" w:rsidRPr="008270BA" w:rsidRDefault="00A36BA5">
      <w:pPr>
        <w:pStyle w:val="BodyText"/>
        <w:spacing w:before="4"/>
        <w:rPr>
          <w:w w:val="90"/>
          <w:sz w:val="25"/>
        </w:rPr>
      </w:pPr>
    </w:p>
    <w:p w14:paraId="52FE38BD" w14:textId="77777777" w:rsidR="00A36BA5" w:rsidRPr="008270BA" w:rsidRDefault="008270BA">
      <w:pPr>
        <w:pStyle w:val="BodyText"/>
        <w:spacing w:line="254" w:lineRule="auto"/>
        <w:ind w:left="380" w:right="513"/>
        <w:rPr>
          <w:w w:val="90"/>
        </w:rPr>
      </w:pPr>
      <w:r w:rsidRPr="008270BA">
        <w:rPr>
          <w:w w:val="90"/>
        </w:rPr>
        <w:t xml:space="preserve">De las diez ciudades más pobladas en Estados Unidos, Filadelfia es la más pobre de todas. Casi el 26% de los residentes viven en condiciones de </w:t>
      </w:r>
      <w:r w:rsidRPr="008270BA">
        <w:rPr>
          <w:b/>
          <w:w w:val="90"/>
        </w:rPr>
        <w:t>pobreza</w:t>
      </w:r>
      <w:r w:rsidRPr="008270BA">
        <w:rPr>
          <w:w w:val="90"/>
        </w:rPr>
        <w:t xml:space="preserve">. La mitad de estos 400,000 residentes pobres también vive en pobreza pronunciada, con un ingreso menor de la mitad del nivel federal de pobreza. Eso significa que en 2018, una familia con un adulto y dos hijos vivía </w:t>
      </w:r>
      <w:r w:rsidRPr="008270BA">
        <w:rPr>
          <w:w w:val="90"/>
        </w:rPr>
        <w:lastRenderedPageBreak/>
        <w:t>con un ingreso anual de menos de $10,000</w:t>
      </w:r>
      <w:r w:rsidRPr="008270BA">
        <w:rPr>
          <w:w w:val="90"/>
          <w:sz w:val="16"/>
        </w:rPr>
        <w:t>9, 10</w:t>
      </w:r>
      <w:r w:rsidRPr="008270BA">
        <w:rPr>
          <w:w w:val="90"/>
        </w:rPr>
        <w:t>. La pobreza pronunciada es más alta entre residentes negros e hispanos. Las personas que viven en condiciones de pobreza son más propensas a contraer VIH y otras enfermedades crónicas que son las principales causas de muerte. Las personas que viven en condiciones de pobreza también tienen una menor expectativa de vida. Aproximadamente un tercio de los residentes de Filadelfia tienen seguro médico mediante Medicaid</w:t>
      </w:r>
      <w:r w:rsidRPr="008270BA">
        <w:rPr>
          <w:w w:val="90"/>
          <w:sz w:val="16"/>
        </w:rPr>
        <w:t>9</w:t>
      </w:r>
      <w:r w:rsidRPr="008270BA">
        <w:rPr>
          <w:w w:val="90"/>
        </w:rPr>
        <w:t>.</w:t>
      </w:r>
    </w:p>
    <w:p w14:paraId="7DD38159" w14:textId="77777777" w:rsidR="00A36BA5" w:rsidRPr="008270BA" w:rsidRDefault="00A36BA5">
      <w:pPr>
        <w:pStyle w:val="BodyText"/>
        <w:spacing w:before="3"/>
        <w:rPr>
          <w:w w:val="90"/>
          <w:sz w:val="25"/>
        </w:rPr>
      </w:pPr>
    </w:p>
    <w:p w14:paraId="3616399B" w14:textId="77777777" w:rsidR="00A36BA5" w:rsidRPr="008270BA" w:rsidRDefault="008270BA">
      <w:pPr>
        <w:pStyle w:val="BodyText"/>
        <w:spacing w:line="254" w:lineRule="auto"/>
        <w:ind w:left="380" w:right="558"/>
        <w:rPr>
          <w:w w:val="90"/>
        </w:rPr>
      </w:pPr>
      <w:r w:rsidRPr="008270BA">
        <w:rPr>
          <w:w w:val="90"/>
        </w:rPr>
        <w:t xml:space="preserve">Las minorías raciales y étnicas representan la mayoría de los residentes de Filadelfia, lo que convierte a Filadelfia en una de las ciudades más diversas del país. El </w:t>
      </w:r>
      <w:r w:rsidRPr="008270BA">
        <w:rPr>
          <w:b/>
          <w:w w:val="90"/>
        </w:rPr>
        <w:t>racismo</w:t>
      </w:r>
      <w:r w:rsidRPr="008270BA">
        <w:rPr>
          <w:w w:val="90"/>
        </w:rPr>
        <w:t>, en combinación con la pobreza, es uno de los impulsores de las desigualdades de salud en Filadelfia. El racismo estructural e interpersonal amenaza el sentido de seguridad física y aumenta las respuestas de estrés, lo que está demostrado por investigaciones realizadas que tiene un impacto negativo sobre la salud a lo largo del tiempo</w:t>
      </w:r>
      <w:r w:rsidRPr="008270BA">
        <w:rPr>
          <w:w w:val="90"/>
          <w:sz w:val="16"/>
        </w:rPr>
        <w:t>11</w:t>
      </w:r>
      <w:r w:rsidRPr="008270BA">
        <w:rPr>
          <w:w w:val="90"/>
        </w:rPr>
        <w:t>. El racismo estructural también previene el acceso a servicios para comunidades minoritarias raciales y étnicas a causa de la falta de recursos en esas comunidades y los obstáculos creados por los sistemas en sí. Filadelfia es una de las ciudades más racialmente segregadas del país. La segregación racial afecta la capacidad de acceder a servicios vitales y recursos necesarios.</w:t>
      </w:r>
    </w:p>
    <w:p w14:paraId="0DACB5F8" w14:textId="77777777" w:rsidR="00A36BA5" w:rsidRPr="008270BA" w:rsidRDefault="00A36BA5">
      <w:pPr>
        <w:pStyle w:val="BodyText"/>
        <w:spacing w:before="3"/>
        <w:rPr>
          <w:w w:val="90"/>
          <w:sz w:val="26"/>
        </w:rPr>
      </w:pPr>
    </w:p>
    <w:p w14:paraId="35CDA996" w14:textId="77777777" w:rsidR="00A36BA5" w:rsidRPr="008270BA" w:rsidRDefault="008270BA" w:rsidP="00B2692E">
      <w:pPr>
        <w:pStyle w:val="BodyText"/>
        <w:spacing w:line="254" w:lineRule="auto"/>
        <w:ind w:left="380" w:right="514"/>
        <w:rPr>
          <w:w w:val="90"/>
        </w:rPr>
      </w:pPr>
      <w:r w:rsidRPr="008270BA">
        <w:rPr>
          <w:w w:val="90"/>
        </w:rPr>
        <w:t xml:space="preserve">La </w:t>
      </w:r>
      <w:r w:rsidRPr="008270BA">
        <w:rPr>
          <w:b/>
          <w:w w:val="90"/>
        </w:rPr>
        <w:t>vivienda</w:t>
      </w:r>
      <w:r w:rsidRPr="008270BA">
        <w:rPr>
          <w:w w:val="90"/>
        </w:rPr>
        <w:t xml:space="preserve"> en Filadelfia es cada vez más costosa, debido a la gentrificación y otros factores. La falta de vivienda asequible es un problema generalizado. Existe una falta de recursos federales, estatales y locales para combatir el problema. La naturaleza arraigada de la pobreza hace que esta falta de recursos de vivienda sea incluso más aguda para muchos ciudadanos de Filadelfia. Aproximadamente la mitad de los inquilinos en la ciudad gastan más del 35% de sus ingresos anuales en el alquiler</w:t>
      </w:r>
      <w:r w:rsidRPr="008270BA">
        <w:rPr>
          <w:w w:val="90"/>
          <w:sz w:val="16"/>
        </w:rPr>
        <w:t>9</w:t>
      </w:r>
      <w:r w:rsidRPr="008270BA">
        <w:rPr>
          <w:w w:val="90"/>
        </w:rPr>
        <w:t xml:space="preserve">. En una sola noche en enero de 2019, la Oficina de Servicios para Personas Sin Hogar (Office </w:t>
      </w:r>
      <w:proofErr w:type="spellStart"/>
      <w:r w:rsidRPr="008270BA">
        <w:rPr>
          <w:w w:val="90"/>
        </w:rPr>
        <w:t>of</w:t>
      </w:r>
      <w:proofErr w:type="spellEnd"/>
      <w:r w:rsidRPr="008270BA">
        <w:rPr>
          <w:w w:val="90"/>
        </w:rPr>
        <w:t xml:space="preserve"> Homeless </w:t>
      </w:r>
      <w:proofErr w:type="spellStart"/>
      <w:r w:rsidRPr="008270BA">
        <w:rPr>
          <w:w w:val="90"/>
        </w:rPr>
        <w:t>Services</w:t>
      </w:r>
      <w:proofErr w:type="spellEnd"/>
      <w:r w:rsidRPr="008270BA">
        <w:rPr>
          <w:w w:val="90"/>
        </w:rPr>
        <w:t>) de Filadelfia contó 5,735 personas sin hogar. De estas, 123 eran PLWH</w:t>
      </w:r>
      <w:r w:rsidRPr="008270BA">
        <w:rPr>
          <w:w w:val="90"/>
          <w:sz w:val="16"/>
        </w:rPr>
        <w:t>12</w:t>
      </w:r>
      <w:r w:rsidRPr="008270BA">
        <w:rPr>
          <w:w w:val="90"/>
        </w:rPr>
        <w:t>. Las PLWH en situación de calle tenían un 53% menos de probabilidad de recibir ART. Las PLWH en viviendas temporales</w:t>
      </w:r>
      <w:r w:rsidR="00B2692E">
        <w:rPr>
          <w:w w:val="90"/>
        </w:rPr>
        <w:t xml:space="preserve"> </w:t>
      </w:r>
      <w:r w:rsidRPr="008270BA">
        <w:rPr>
          <w:w w:val="90"/>
        </w:rPr>
        <w:t>o inestables tenían un 49% menos de probabilidad de lograr la supresión viral</w:t>
      </w:r>
      <w:r w:rsidRPr="008270BA">
        <w:rPr>
          <w:w w:val="90"/>
          <w:sz w:val="16"/>
        </w:rPr>
        <w:t>4</w:t>
      </w:r>
      <w:r w:rsidRPr="008270BA">
        <w:rPr>
          <w:w w:val="90"/>
        </w:rPr>
        <w:t>. La vivienda estable mejora los resultados de salud</w:t>
      </w:r>
      <w:r w:rsidRPr="008270BA">
        <w:rPr>
          <w:w w:val="90"/>
          <w:sz w:val="16"/>
        </w:rPr>
        <w:t>13</w:t>
      </w:r>
      <w:r w:rsidRPr="008270BA">
        <w:rPr>
          <w:w w:val="90"/>
        </w:rPr>
        <w:t>.</w:t>
      </w:r>
    </w:p>
    <w:p w14:paraId="2DEFA5B4" w14:textId="77777777" w:rsidR="00A36BA5" w:rsidRPr="008270BA" w:rsidRDefault="00A36BA5">
      <w:pPr>
        <w:pStyle w:val="BodyText"/>
        <w:spacing w:before="8"/>
        <w:rPr>
          <w:w w:val="90"/>
        </w:rPr>
      </w:pPr>
    </w:p>
    <w:p w14:paraId="5DB4A56F" w14:textId="41E2E270" w:rsidR="00A36BA5" w:rsidRPr="008270BA" w:rsidRDefault="008270BA">
      <w:pPr>
        <w:pStyle w:val="BodyText"/>
        <w:spacing w:before="1" w:line="254" w:lineRule="auto"/>
        <w:ind w:left="380" w:right="587"/>
        <w:rPr>
          <w:w w:val="90"/>
        </w:rPr>
      </w:pPr>
      <w:r w:rsidRPr="008270BA">
        <w:rPr>
          <w:w w:val="90"/>
        </w:rPr>
        <w:t xml:space="preserve">Filadelfia es hogar de una animada comunidad de orientaciones sexuales e identidades de género diversas. Sin embargo, </w:t>
      </w:r>
      <w:r w:rsidR="00AF5978">
        <w:rPr>
          <w:w w:val="90"/>
        </w:rPr>
        <w:t>el</w:t>
      </w:r>
      <w:r w:rsidR="00E45CC1" w:rsidRPr="008270BA">
        <w:rPr>
          <w:w w:val="90"/>
        </w:rPr>
        <w:t xml:space="preserve"> esti</w:t>
      </w:r>
      <w:r w:rsidR="00AF5978">
        <w:rPr>
          <w:w w:val="90"/>
        </w:rPr>
        <w:t>g</w:t>
      </w:r>
      <w:r w:rsidR="00E45CC1" w:rsidRPr="008270BA">
        <w:rPr>
          <w:w w:val="90"/>
        </w:rPr>
        <w:t>ma</w:t>
      </w:r>
      <w:r w:rsidRPr="008270BA">
        <w:rPr>
          <w:w w:val="90"/>
        </w:rPr>
        <w:t xml:space="preserve"> hacia personas </w:t>
      </w:r>
      <w:r w:rsidRPr="008270BA">
        <w:rPr>
          <w:b/>
          <w:w w:val="90"/>
        </w:rPr>
        <w:t xml:space="preserve">lesbianas, </w:t>
      </w:r>
      <w:proofErr w:type="spellStart"/>
      <w:r w:rsidRPr="008270BA">
        <w:rPr>
          <w:b/>
          <w:w w:val="90"/>
        </w:rPr>
        <w:t>gays</w:t>
      </w:r>
      <w:proofErr w:type="spellEnd"/>
      <w:r w:rsidRPr="008270BA">
        <w:rPr>
          <w:b/>
          <w:w w:val="90"/>
        </w:rPr>
        <w:t xml:space="preserve">, bisexuales, transgénero, </w:t>
      </w:r>
      <w:proofErr w:type="spellStart"/>
      <w:r w:rsidRPr="008270BA">
        <w:rPr>
          <w:b/>
          <w:w w:val="90"/>
        </w:rPr>
        <w:t>queer</w:t>
      </w:r>
      <w:proofErr w:type="spellEnd"/>
      <w:r w:rsidRPr="008270BA">
        <w:rPr>
          <w:b/>
          <w:w w:val="90"/>
        </w:rPr>
        <w:t xml:space="preserve">, </w:t>
      </w:r>
      <w:proofErr w:type="spellStart"/>
      <w:r w:rsidRPr="008270BA">
        <w:rPr>
          <w:b/>
          <w:w w:val="90"/>
        </w:rPr>
        <w:t>intersexo</w:t>
      </w:r>
      <w:proofErr w:type="spellEnd"/>
      <w:r w:rsidRPr="008270BA">
        <w:rPr>
          <w:b/>
          <w:w w:val="90"/>
        </w:rPr>
        <w:t xml:space="preserve"> y asexuales (LGBTQIA+)</w:t>
      </w:r>
      <w:r w:rsidRPr="008270BA">
        <w:rPr>
          <w:w w:val="90"/>
        </w:rPr>
        <w:t xml:space="preserve"> es omnipresente en la ciudad, incluso con una aceptación social y protecciones legales cada vez mayores. La discriminación con base en la orientación sexual o identidad y expresión de género presentan obstáculos para el bienestar y el acceso a atención médica. También hay amenazas emergentes para los derechos legales anteriormente protegidos, con cambios en las políticas a nivel federal y estatal que afectan a los residentes LGBTQIA+.</w:t>
      </w:r>
    </w:p>
    <w:p w14:paraId="763B7241" w14:textId="77777777" w:rsidR="00A36BA5" w:rsidRPr="008270BA" w:rsidRDefault="00A36BA5">
      <w:pPr>
        <w:pStyle w:val="BodyText"/>
        <w:spacing w:before="4"/>
        <w:rPr>
          <w:w w:val="90"/>
          <w:sz w:val="25"/>
        </w:rPr>
      </w:pPr>
    </w:p>
    <w:p w14:paraId="619B2D22" w14:textId="77777777" w:rsidR="00A36BA5" w:rsidRPr="008270BA" w:rsidRDefault="008270BA">
      <w:pPr>
        <w:pStyle w:val="BodyText"/>
        <w:spacing w:line="254" w:lineRule="auto"/>
        <w:ind w:left="380" w:right="558"/>
        <w:rPr>
          <w:w w:val="90"/>
        </w:rPr>
      </w:pPr>
      <w:r w:rsidRPr="008270BA">
        <w:rPr>
          <w:w w:val="90"/>
        </w:rPr>
        <w:t xml:space="preserve">El </w:t>
      </w:r>
      <w:r w:rsidRPr="008270BA">
        <w:rPr>
          <w:b/>
          <w:w w:val="90"/>
        </w:rPr>
        <w:t xml:space="preserve">dominio limitado del inglés hablado </w:t>
      </w:r>
      <w:r w:rsidRPr="008270BA">
        <w:rPr>
          <w:w w:val="90"/>
        </w:rPr>
        <w:t>es un obstáculo para varias comunidades étnicas y culturales en nuestra ciudad tan diversa. Incluso si hay servicios de interpretación y traducción del lenguaje disponibles en los proveedores de servicios, muchas personas no lo saben o no se sienten cómodas buscando servicios fuera de sus comunidades. Se estima que el 26% de los residentes habla un idioma extranjero en casa</w:t>
      </w:r>
      <w:r w:rsidRPr="008270BA">
        <w:rPr>
          <w:w w:val="90"/>
          <w:sz w:val="16"/>
        </w:rPr>
        <w:t>9</w:t>
      </w:r>
      <w:r w:rsidRPr="008270BA">
        <w:rPr>
          <w:w w:val="90"/>
        </w:rPr>
        <w:t xml:space="preserve"> y que el 6.9% de los residentes de Filadelfia viven en viviendas en las que se habla un inglés limitado</w:t>
      </w:r>
      <w:r w:rsidRPr="008270BA">
        <w:rPr>
          <w:w w:val="90"/>
          <w:sz w:val="16"/>
        </w:rPr>
        <w:t>9</w:t>
      </w:r>
      <w:r w:rsidRPr="008270BA">
        <w:rPr>
          <w:w w:val="90"/>
        </w:rPr>
        <w:t>.</w:t>
      </w:r>
    </w:p>
    <w:p w14:paraId="191F6591" w14:textId="77777777" w:rsidR="00A36BA5" w:rsidRPr="008270BA" w:rsidRDefault="00A36BA5">
      <w:pPr>
        <w:pStyle w:val="BodyText"/>
        <w:rPr>
          <w:w w:val="90"/>
          <w:sz w:val="25"/>
        </w:rPr>
      </w:pPr>
    </w:p>
    <w:p w14:paraId="64883AF3" w14:textId="77777777" w:rsidR="00A36BA5" w:rsidRPr="008270BA" w:rsidRDefault="008270BA">
      <w:pPr>
        <w:pStyle w:val="BodyText"/>
        <w:spacing w:line="254" w:lineRule="auto"/>
        <w:ind w:left="380" w:right="1082"/>
        <w:rPr>
          <w:w w:val="90"/>
        </w:rPr>
      </w:pPr>
      <w:r w:rsidRPr="008270BA">
        <w:rPr>
          <w:w w:val="90"/>
        </w:rPr>
        <w:lastRenderedPageBreak/>
        <w:t xml:space="preserve">Las </w:t>
      </w:r>
      <w:r w:rsidRPr="008270BA">
        <w:rPr>
          <w:b/>
          <w:w w:val="90"/>
        </w:rPr>
        <w:t>experiencias de abuso médico</w:t>
      </w:r>
      <w:r w:rsidRPr="008270BA">
        <w:rPr>
          <w:w w:val="90"/>
        </w:rPr>
        <w:t xml:space="preserve"> son comunes entre comunidades minoritarias debido a abusos históricos y experiencias individuales. Estas experiencias pueden desalentar a las personas de obtener totalmente servicios de atención médica y prevención del VIH, además de no cumplir con los regímenes de tratamiento.</w:t>
      </w:r>
    </w:p>
    <w:p w14:paraId="594A5CDC" w14:textId="77777777" w:rsidR="00A36BA5" w:rsidRPr="008270BA" w:rsidRDefault="00A36BA5">
      <w:pPr>
        <w:pStyle w:val="BodyText"/>
        <w:spacing w:before="2"/>
        <w:rPr>
          <w:w w:val="90"/>
          <w:sz w:val="25"/>
        </w:rPr>
      </w:pPr>
    </w:p>
    <w:p w14:paraId="14D942EF" w14:textId="77777777" w:rsidR="00A36BA5" w:rsidRPr="008270BA" w:rsidRDefault="008270BA">
      <w:pPr>
        <w:pStyle w:val="BodyText"/>
        <w:spacing w:before="1" w:line="254" w:lineRule="auto"/>
        <w:ind w:left="380" w:right="558"/>
        <w:rPr>
          <w:w w:val="90"/>
        </w:rPr>
      </w:pPr>
      <w:r w:rsidRPr="008270BA">
        <w:rPr>
          <w:w w:val="90"/>
        </w:rPr>
        <w:t xml:space="preserve">La </w:t>
      </w:r>
      <w:r w:rsidRPr="008270BA">
        <w:rPr>
          <w:b/>
          <w:w w:val="90"/>
        </w:rPr>
        <w:t>salud mental</w:t>
      </w:r>
      <w:r w:rsidRPr="008270BA">
        <w:rPr>
          <w:w w:val="90"/>
        </w:rPr>
        <w:t xml:space="preserve"> afecta todos los elementos de la continuidad de atención del VIH. Las personas con trastornos de salud mental diagnosticados y sin diagnosticar tienen un riesgo mucho más alto de contraer VIH. Los diagnósticos de salud mental son más comunes entre PLWH que en la población general</w:t>
      </w:r>
      <w:r w:rsidRPr="008270BA">
        <w:rPr>
          <w:w w:val="90"/>
          <w:sz w:val="16"/>
        </w:rPr>
        <w:t>14</w:t>
      </w:r>
      <w:r w:rsidRPr="008270BA">
        <w:rPr>
          <w:w w:val="90"/>
        </w:rPr>
        <w:t>. El Proyecto de Monitoreo Médico de Filadelfia halló que el 43% de las PLWH tenían un diagnóstico de salud mental, lo que incluye depresión, ansiedad, trastornos del humor y psicosis</w:t>
      </w:r>
      <w:r w:rsidRPr="008270BA">
        <w:rPr>
          <w:w w:val="90"/>
          <w:sz w:val="16"/>
        </w:rPr>
        <w:t>4</w:t>
      </w:r>
      <w:r w:rsidRPr="008270BA">
        <w:rPr>
          <w:w w:val="90"/>
        </w:rPr>
        <w:t>.</w:t>
      </w:r>
    </w:p>
    <w:p w14:paraId="6DE98A96" w14:textId="77777777" w:rsidR="00A36BA5" w:rsidRPr="008270BA" w:rsidRDefault="00A36BA5">
      <w:pPr>
        <w:pStyle w:val="BodyText"/>
        <w:spacing w:before="11"/>
        <w:rPr>
          <w:w w:val="90"/>
        </w:rPr>
      </w:pPr>
    </w:p>
    <w:p w14:paraId="33768C70" w14:textId="77777777" w:rsidR="00A36BA5" w:rsidRPr="008270BA" w:rsidRDefault="008270BA">
      <w:pPr>
        <w:pStyle w:val="BodyText"/>
        <w:spacing w:line="254" w:lineRule="auto"/>
        <w:ind w:left="380" w:right="565"/>
        <w:rPr>
          <w:w w:val="90"/>
        </w:rPr>
      </w:pPr>
      <w:r w:rsidRPr="008270BA">
        <w:rPr>
          <w:w w:val="90"/>
        </w:rPr>
        <w:t>Las personas con trastornos de salud mental diagnosticados y sin diagnosticar tienen un resultado de salud relativo al VIH mucho peor. Las PLWH con depresión entre moderada y grave fueron 55% menos propensas a mantener la atención y 46% menos propensas a recibir tratamiento antirretroviral. Las PLWH con depresión entre moderada y grave sin tratar fueron un 38% menos propensas a lograr la supresión viral</w:t>
      </w:r>
      <w:r w:rsidRPr="008270BA">
        <w:rPr>
          <w:w w:val="90"/>
          <w:sz w:val="16"/>
        </w:rPr>
        <w:t>15</w:t>
      </w:r>
      <w:r w:rsidRPr="008270BA">
        <w:rPr>
          <w:w w:val="90"/>
        </w:rPr>
        <w:t>.</w:t>
      </w:r>
    </w:p>
    <w:p w14:paraId="65F6668C" w14:textId="77777777" w:rsidR="00A36BA5" w:rsidRPr="008270BA" w:rsidRDefault="00A36BA5">
      <w:pPr>
        <w:pStyle w:val="BodyText"/>
        <w:spacing w:before="9"/>
        <w:rPr>
          <w:w w:val="90"/>
        </w:rPr>
      </w:pPr>
    </w:p>
    <w:p w14:paraId="38C8FC1A" w14:textId="77777777" w:rsidR="00A36BA5" w:rsidRPr="008270BA" w:rsidRDefault="008270BA">
      <w:pPr>
        <w:pStyle w:val="BodyText"/>
        <w:spacing w:line="254" w:lineRule="auto"/>
        <w:ind w:left="380" w:right="558"/>
        <w:rPr>
          <w:w w:val="90"/>
        </w:rPr>
      </w:pPr>
      <w:r w:rsidRPr="008270BA">
        <w:rPr>
          <w:w w:val="90"/>
        </w:rPr>
        <w:t xml:space="preserve">El </w:t>
      </w:r>
      <w:r w:rsidRPr="008270BA">
        <w:rPr>
          <w:b/>
          <w:w w:val="90"/>
        </w:rPr>
        <w:t>uso de sustancias</w:t>
      </w:r>
      <w:r w:rsidRPr="008270BA">
        <w:rPr>
          <w:w w:val="90"/>
        </w:rPr>
        <w:t xml:space="preserve"> está asociado con el trauma, la enfermedad mental y otros factores que afectan a las personas en riesgo de contraer VIH y que viven con VIH. En particular, el uso de drogas inyectables aumenta el riesgo de VIH. Luego de muchos años de tasas bajas de nuevas infecciones con VIH entre PWID, los diagnósticos están en alza. En 2019, casi el 24% de las PLWH en Filadelfia había contraído VIH mediante el uso actual o pasado de drogas inyectables.</w:t>
      </w:r>
    </w:p>
    <w:p w14:paraId="117C32DC" w14:textId="77777777" w:rsidR="00A36BA5" w:rsidRPr="008270BA" w:rsidRDefault="00A36BA5">
      <w:pPr>
        <w:pStyle w:val="BodyText"/>
        <w:spacing w:before="11"/>
        <w:rPr>
          <w:w w:val="90"/>
          <w:sz w:val="26"/>
        </w:rPr>
      </w:pPr>
    </w:p>
    <w:p w14:paraId="64B7EB5A" w14:textId="70BD8F30" w:rsidR="00A36BA5" w:rsidRPr="008270BA" w:rsidRDefault="008270BA" w:rsidP="00B2692E">
      <w:pPr>
        <w:pStyle w:val="BodyText"/>
        <w:spacing w:line="254" w:lineRule="auto"/>
        <w:ind w:left="380" w:right="460"/>
        <w:rPr>
          <w:w w:val="90"/>
        </w:rPr>
      </w:pPr>
      <w:r w:rsidRPr="008270BA">
        <w:rPr>
          <w:w w:val="90"/>
        </w:rPr>
        <w:t xml:space="preserve">El </w:t>
      </w:r>
      <w:r w:rsidRPr="008270BA">
        <w:rPr>
          <w:b/>
          <w:w w:val="90"/>
        </w:rPr>
        <w:t>estigma del VIH</w:t>
      </w:r>
      <w:r w:rsidRPr="008270BA">
        <w:rPr>
          <w:w w:val="90"/>
        </w:rPr>
        <w:t xml:space="preserve"> se refiere a creencias, actitudes y sentimientos negativos relativos a las personas que viven con VIH o que corren riesgo de contraer VIH. </w:t>
      </w:r>
      <w:r w:rsidR="00AF5978">
        <w:rPr>
          <w:w w:val="90"/>
        </w:rPr>
        <w:t>El</w:t>
      </w:r>
      <w:r w:rsidR="00E45CC1" w:rsidRPr="008270BA">
        <w:rPr>
          <w:w w:val="90"/>
        </w:rPr>
        <w:t xml:space="preserve"> esti</w:t>
      </w:r>
      <w:r w:rsidR="00AF5978">
        <w:rPr>
          <w:w w:val="90"/>
        </w:rPr>
        <w:t>g</w:t>
      </w:r>
      <w:r w:rsidR="00E45CC1" w:rsidRPr="008270BA">
        <w:rPr>
          <w:w w:val="90"/>
        </w:rPr>
        <w:t>ma</w:t>
      </w:r>
      <w:r w:rsidRPr="008270BA">
        <w:rPr>
          <w:w w:val="90"/>
        </w:rPr>
        <w:t xml:space="preserve"> del VIH causa daño debido a que esas actitudes y creencias pueden tener como resultado comportamientos discriminatorios hacia las PLWH. En entrevistas recientes realizadas a personas en grupos de riesgo a través del proyecto de Vigilancia de Conducta de VIH Nacional (NHBS), se les realizó recientemente a los participantes (tanto VIH positivos como VIH negativos) en Filadelfia varias preguntas sobre el estigma relacionado con el VIH. Una gran mayoría de los participantes del NHBS informaron altas tasas de estigma. Por ejemplo, aproximadamente 8 de cada</w:t>
      </w:r>
      <w:r w:rsidR="00B2692E">
        <w:rPr>
          <w:w w:val="90"/>
        </w:rPr>
        <w:t xml:space="preserve"> </w:t>
      </w:r>
      <w:r w:rsidRPr="008270BA">
        <w:rPr>
          <w:w w:val="90"/>
        </w:rPr>
        <w:t>10 participantes que eran PWID y MSM percibieron estigma relacionado con el VIH en la comunidad de Filadelfia (el 81.3% de las PWID y el 79.5% de los MSM). Abordar el estigma requiere intervenciones multinivel, basadas en la evidencia y mensurables. Para las organizaciones, la meta es un entorno de atención en donde los pacientes se sientan respetados y cuidados adecuadamente desde el momento de su primer encuentro.</w:t>
      </w:r>
    </w:p>
    <w:p w14:paraId="7ECCB5D5" w14:textId="77777777" w:rsidR="00A36BA5" w:rsidRPr="008270BA" w:rsidRDefault="00A36BA5">
      <w:pPr>
        <w:pStyle w:val="BodyText"/>
        <w:spacing w:before="2"/>
        <w:rPr>
          <w:w w:val="90"/>
          <w:sz w:val="25"/>
        </w:rPr>
      </w:pPr>
    </w:p>
    <w:p w14:paraId="0E6899ED" w14:textId="77777777" w:rsidR="00A36BA5" w:rsidRPr="008270BA" w:rsidRDefault="008270BA">
      <w:pPr>
        <w:pStyle w:val="BodyText"/>
        <w:spacing w:line="261" w:lineRule="auto"/>
        <w:ind w:left="380" w:right="558"/>
        <w:rPr>
          <w:w w:val="90"/>
        </w:rPr>
      </w:pPr>
      <w:r w:rsidRPr="008270BA">
        <w:rPr>
          <w:b/>
          <w:w w:val="90"/>
        </w:rPr>
        <w:t>Encuentros negativos con las fuerzas policiales</w:t>
      </w:r>
      <w:r w:rsidRPr="008270BA">
        <w:rPr>
          <w:w w:val="90"/>
        </w:rPr>
        <w:t>: La criminalización de actividades como el uso de drogas o el trabajo sexual puede tener un efecto negativo sobre la capacidad que tiene una persona de solicitar una prueba de VIH o servicios de tratamiento, y pone a las personas en un mayor riesgo de adquirir VIH.</w:t>
      </w:r>
    </w:p>
    <w:p w14:paraId="5DE5E227" w14:textId="77777777" w:rsidR="00A36BA5" w:rsidRPr="008270BA" w:rsidRDefault="00A36BA5">
      <w:pPr>
        <w:pStyle w:val="BodyText"/>
        <w:spacing w:before="2"/>
        <w:rPr>
          <w:w w:val="90"/>
        </w:rPr>
      </w:pPr>
    </w:p>
    <w:p w14:paraId="5721CFD4" w14:textId="77777777" w:rsidR="00A36BA5" w:rsidRPr="008270BA" w:rsidRDefault="008270BA">
      <w:pPr>
        <w:pStyle w:val="BodyText"/>
        <w:spacing w:line="247" w:lineRule="auto"/>
        <w:ind w:left="380" w:right="823"/>
        <w:rPr>
          <w:w w:val="90"/>
        </w:rPr>
      </w:pPr>
      <w:r w:rsidRPr="008270BA">
        <w:rPr>
          <w:b/>
          <w:w w:val="90"/>
        </w:rPr>
        <w:t>Encarcelamiento</w:t>
      </w:r>
      <w:r w:rsidRPr="008270BA">
        <w:rPr>
          <w:w w:val="90"/>
        </w:rPr>
        <w:t>: La prevalencia del VIH es mucho mayor en cárceles y prisiones que en la población general</w:t>
      </w:r>
      <w:r w:rsidRPr="008270BA">
        <w:rPr>
          <w:w w:val="90"/>
          <w:sz w:val="14"/>
        </w:rPr>
        <w:t>17</w:t>
      </w:r>
      <w:r w:rsidRPr="008270BA">
        <w:rPr>
          <w:w w:val="90"/>
        </w:rPr>
        <w:t>. En Filadelfia, la población de las cárceles, si bien está disminuyendo, sigue siendo alta</w:t>
      </w:r>
      <w:r w:rsidRPr="008270BA">
        <w:rPr>
          <w:w w:val="90"/>
          <w:sz w:val="16"/>
        </w:rPr>
        <w:t>16</w:t>
      </w:r>
      <w:r w:rsidRPr="008270BA">
        <w:rPr>
          <w:w w:val="90"/>
        </w:rPr>
        <w:t xml:space="preserve">. En 2019, se liberó a 539 personas que viven con VIH del encarcelamiento </w:t>
      </w:r>
      <w:r w:rsidRPr="008270BA">
        <w:rPr>
          <w:w w:val="90"/>
        </w:rPr>
        <w:lastRenderedPageBreak/>
        <w:t>en Filadelfia</w:t>
      </w:r>
      <w:r w:rsidRPr="008270BA">
        <w:rPr>
          <w:w w:val="90"/>
          <w:sz w:val="16"/>
        </w:rPr>
        <w:t>4</w:t>
      </w:r>
      <w:r w:rsidRPr="008270BA">
        <w:rPr>
          <w:w w:val="90"/>
        </w:rPr>
        <w:t>.</w:t>
      </w:r>
    </w:p>
    <w:p w14:paraId="472ED3CD" w14:textId="77777777" w:rsidR="00A36BA5" w:rsidRPr="008270BA" w:rsidRDefault="00A36BA5">
      <w:pPr>
        <w:pStyle w:val="BodyText"/>
        <w:spacing w:before="7"/>
        <w:rPr>
          <w:w w:val="90"/>
          <w:sz w:val="27"/>
        </w:rPr>
      </w:pPr>
    </w:p>
    <w:p w14:paraId="6A804CDE" w14:textId="77777777" w:rsidR="00A36BA5" w:rsidRPr="008270BA" w:rsidRDefault="008270BA">
      <w:pPr>
        <w:pStyle w:val="BodyText"/>
        <w:ind w:left="380"/>
        <w:rPr>
          <w:w w:val="90"/>
        </w:rPr>
      </w:pPr>
      <w:r w:rsidRPr="008270BA">
        <w:rPr>
          <w:w w:val="90"/>
        </w:rPr>
        <w:t>Todos estos factores deben tenerse en cuenta en los esfuerzos por poner fin a la epidemia de VIH.</w:t>
      </w:r>
    </w:p>
    <w:p w14:paraId="5711C1FB" w14:textId="77777777" w:rsidR="00A36BA5" w:rsidRPr="008270BA" w:rsidRDefault="00A36BA5">
      <w:pPr>
        <w:pStyle w:val="BodyText"/>
        <w:rPr>
          <w:w w:val="90"/>
          <w:sz w:val="20"/>
        </w:rPr>
      </w:pPr>
    </w:p>
    <w:p w14:paraId="5F4B9226" w14:textId="77777777" w:rsidR="00A36BA5" w:rsidRPr="008270BA" w:rsidRDefault="00A36BA5">
      <w:pPr>
        <w:pStyle w:val="BodyText"/>
        <w:spacing w:before="6" w:after="1"/>
        <w:rPr>
          <w:w w:val="90"/>
          <w:sz w:val="15"/>
        </w:rPr>
      </w:pPr>
    </w:p>
    <w:tbl>
      <w:tblPr>
        <w:tblStyle w:val="TableNormal1"/>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20"/>
        <w:gridCol w:w="4940"/>
      </w:tblGrid>
      <w:tr w:rsidR="00A36BA5" w:rsidRPr="008270BA" w14:paraId="3E0DDC52" w14:textId="77777777">
        <w:trPr>
          <w:trHeight w:val="420"/>
        </w:trPr>
        <w:tc>
          <w:tcPr>
            <w:tcW w:w="9960" w:type="dxa"/>
            <w:gridSpan w:val="2"/>
            <w:shd w:val="clear" w:color="auto" w:fill="002060"/>
          </w:tcPr>
          <w:p w14:paraId="71329F15" w14:textId="77777777" w:rsidR="00A36BA5" w:rsidRPr="008270BA" w:rsidRDefault="008270BA" w:rsidP="00B2692E">
            <w:pPr>
              <w:pStyle w:val="TableParagraph"/>
              <w:spacing w:before="75"/>
              <w:ind w:left="32"/>
              <w:rPr>
                <w:b/>
                <w:w w:val="90"/>
                <w:sz w:val="24"/>
              </w:rPr>
            </w:pPr>
            <w:r w:rsidRPr="008270BA">
              <w:rPr>
                <w:b/>
                <w:color w:val="FFFFFF"/>
                <w:w w:val="90"/>
                <w:sz w:val="24"/>
              </w:rPr>
              <w:t>Tabla 1: Información de la evaluación de necesidades para la jurisdicción de Filadelfia por pilar</w:t>
            </w:r>
          </w:p>
        </w:tc>
      </w:tr>
      <w:tr w:rsidR="00A36BA5" w:rsidRPr="008270BA" w14:paraId="271FDDE6" w14:textId="77777777">
        <w:trPr>
          <w:trHeight w:val="420"/>
        </w:trPr>
        <w:tc>
          <w:tcPr>
            <w:tcW w:w="5020" w:type="dxa"/>
            <w:shd w:val="clear" w:color="auto" w:fill="002060"/>
          </w:tcPr>
          <w:p w14:paraId="34C9FAA6" w14:textId="77777777" w:rsidR="00A36BA5" w:rsidRPr="008270BA" w:rsidRDefault="008270BA">
            <w:pPr>
              <w:pStyle w:val="TableParagraph"/>
              <w:spacing w:before="75"/>
              <w:ind w:left="1729"/>
              <w:rPr>
                <w:b/>
                <w:w w:val="90"/>
                <w:sz w:val="24"/>
              </w:rPr>
            </w:pPr>
            <w:r w:rsidRPr="008270BA">
              <w:rPr>
                <w:b/>
                <w:color w:val="FFFFFF"/>
                <w:w w:val="90"/>
                <w:sz w:val="24"/>
              </w:rPr>
              <w:t>Necesidades y brechas</w:t>
            </w:r>
          </w:p>
        </w:tc>
        <w:tc>
          <w:tcPr>
            <w:tcW w:w="4940" w:type="dxa"/>
            <w:shd w:val="clear" w:color="auto" w:fill="002060"/>
          </w:tcPr>
          <w:p w14:paraId="43A1895F" w14:textId="77777777" w:rsidR="00A36BA5" w:rsidRPr="008270BA" w:rsidRDefault="008270BA">
            <w:pPr>
              <w:pStyle w:val="TableParagraph"/>
              <w:spacing w:before="75"/>
              <w:ind w:left="600"/>
              <w:rPr>
                <w:b/>
                <w:w w:val="90"/>
                <w:sz w:val="24"/>
              </w:rPr>
            </w:pPr>
            <w:r w:rsidRPr="008270BA">
              <w:rPr>
                <w:b/>
                <w:color w:val="FFFFFF"/>
                <w:w w:val="90"/>
                <w:sz w:val="24"/>
              </w:rPr>
              <w:t>Estrategias para abordar las necesidades y brechas</w:t>
            </w:r>
          </w:p>
        </w:tc>
      </w:tr>
      <w:tr w:rsidR="00A36BA5" w:rsidRPr="008270BA" w14:paraId="224948D3" w14:textId="77777777">
        <w:trPr>
          <w:trHeight w:val="420"/>
        </w:trPr>
        <w:tc>
          <w:tcPr>
            <w:tcW w:w="9960" w:type="dxa"/>
            <w:gridSpan w:val="2"/>
            <w:shd w:val="clear" w:color="auto" w:fill="D9D9D9"/>
          </w:tcPr>
          <w:p w14:paraId="0C9098F9" w14:textId="77777777" w:rsidR="00A36BA5" w:rsidRPr="008270BA" w:rsidRDefault="008270BA">
            <w:pPr>
              <w:pStyle w:val="TableParagraph"/>
              <w:spacing w:before="75"/>
              <w:ind w:left="4122" w:right="4069"/>
              <w:jc w:val="center"/>
              <w:rPr>
                <w:b/>
                <w:w w:val="90"/>
                <w:sz w:val="24"/>
              </w:rPr>
            </w:pPr>
            <w:r w:rsidRPr="008270BA">
              <w:rPr>
                <w:b/>
                <w:w w:val="90"/>
                <w:sz w:val="24"/>
              </w:rPr>
              <w:t>Pilar 1: Diagnosticar</w:t>
            </w:r>
          </w:p>
        </w:tc>
      </w:tr>
      <w:tr w:rsidR="00A36BA5" w:rsidRPr="008270BA" w14:paraId="61995310" w14:textId="77777777">
        <w:trPr>
          <w:trHeight w:val="1760"/>
        </w:trPr>
        <w:tc>
          <w:tcPr>
            <w:tcW w:w="5020" w:type="dxa"/>
          </w:tcPr>
          <w:p w14:paraId="707B7B40" w14:textId="77777777" w:rsidR="00A36BA5" w:rsidRPr="008270BA" w:rsidRDefault="00A36BA5">
            <w:pPr>
              <w:pStyle w:val="TableParagraph"/>
              <w:spacing w:before="7"/>
              <w:rPr>
                <w:w w:val="90"/>
                <w:sz w:val="25"/>
              </w:rPr>
            </w:pPr>
          </w:p>
          <w:p w14:paraId="4C3433B8" w14:textId="77777777" w:rsidR="00A36BA5" w:rsidRPr="008270BA" w:rsidRDefault="008270BA">
            <w:pPr>
              <w:pStyle w:val="TableParagraph"/>
              <w:spacing w:before="0" w:line="254" w:lineRule="auto"/>
              <w:ind w:left="130" w:right="59"/>
              <w:rPr>
                <w:w w:val="90"/>
                <w:sz w:val="24"/>
              </w:rPr>
            </w:pPr>
            <w:r w:rsidRPr="008270BA">
              <w:rPr>
                <w:w w:val="90"/>
                <w:sz w:val="24"/>
              </w:rPr>
              <w:t xml:space="preserve">Se estima que unas 1,700 PLWH en Filadelfia desconocen su estado. Con base en las estimaciones de los Centros de Control de Enfermedades (Centers </w:t>
            </w:r>
            <w:proofErr w:type="spellStart"/>
            <w:r w:rsidRPr="008270BA">
              <w:rPr>
                <w:w w:val="90"/>
                <w:sz w:val="24"/>
              </w:rPr>
              <w:t>for</w:t>
            </w:r>
            <w:proofErr w:type="spellEnd"/>
            <w:r w:rsidRPr="008270BA">
              <w:rPr>
                <w:w w:val="90"/>
                <w:sz w:val="24"/>
              </w:rPr>
              <w:t xml:space="preserve"> </w:t>
            </w:r>
            <w:proofErr w:type="spellStart"/>
            <w:r w:rsidRPr="008270BA">
              <w:rPr>
                <w:w w:val="90"/>
                <w:sz w:val="24"/>
              </w:rPr>
              <w:t>Disease</w:t>
            </w:r>
            <w:proofErr w:type="spellEnd"/>
            <w:r w:rsidRPr="008270BA">
              <w:rPr>
                <w:w w:val="90"/>
                <w:sz w:val="24"/>
              </w:rPr>
              <w:t xml:space="preserve"> Control, CDC), estas personas representaron el 39% de las transmisiones de VIH en Filadelfia en 2019</w:t>
            </w:r>
            <w:r w:rsidRPr="008270BA">
              <w:rPr>
                <w:w w:val="90"/>
                <w:sz w:val="16"/>
              </w:rPr>
              <w:t>18</w:t>
            </w:r>
            <w:r w:rsidRPr="008270BA">
              <w:rPr>
                <w:w w:val="90"/>
                <w:sz w:val="24"/>
              </w:rPr>
              <w:t>.</w:t>
            </w:r>
          </w:p>
        </w:tc>
        <w:tc>
          <w:tcPr>
            <w:tcW w:w="4940" w:type="dxa"/>
          </w:tcPr>
          <w:p w14:paraId="09B10239" w14:textId="77777777" w:rsidR="00A36BA5" w:rsidRPr="008270BA" w:rsidRDefault="008270BA">
            <w:pPr>
              <w:pStyle w:val="TableParagraph"/>
              <w:spacing w:before="15" w:line="252" w:lineRule="auto"/>
              <w:ind w:left="130" w:right="292"/>
              <w:rPr>
                <w:w w:val="90"/>
                <w:sz w:val="24"/>
              </w:rPr>
            </w:pPr>
            <w:r w:rsidRPr="008270BA">
              <w:rPr>
                <w:w w:val="90"/>
                <w:sz w:val="24"/>
              </w:rPr>
              <w:t>Aumentar el acceso a las pruebas de VIH y las opciones para estas pruebas, incluida la expansión de pruebas de rutina de las que uno se puede excluir si así lo desea, en diversos lugares. Implementar la evaluación biosocial en entornos de atención médica. Realinear los esfuerzos de prueba comunitarios para</w:t>
            </w:r>
          </w:p>
          <w:p w14:paraId="66AEF928" w14:textId="77777777" w:rsidR="00A36BA5" w:rsidRPr="008270BA" w:rsidRDefault="008270BA">
            <w:pPr>
              <w:pStyle w:val="TableParagraph"/>
              <w:spacing w:before="11" w:line="265" w:lineRule="exact"/>
              <w:ind w:left="130"/>
              <w:rPr>
                <w:w w:val="90"/>
                <w:sz w:val="24"/>
              </w:rPr>
            </w:pPr>
            <w:r w:rsidRPr="008270BA">
              <w:rPr>
                <w:w w:val="90"/>
                <w:sz w:val="24"/>
              </w:rPr>
              <w:t>garantizar que se alcance a poblaciones clave.</w:t>
            </w:r>
          </w:p>
        </w:tc>
      </w:tr>
      <w:tr w:rsidR="00A36BA5" w:rsidRPr="008270BA" w14:paraId="7719DF27" w14:textId="77777777">
        <w:trPr>
          <w:trHeight w:val="420"/>
        </w:trPr>
        <w:tc>
          <w:tcPr>
            <w:tcW w:w="9960" w:type="dxa"/>
            <w:gridSpan w:val="2"/>
            <w:shd w:val="clear" w:color="auto" w:fill="D9D9D9"/>
          </w:tcPr>
          <w:p w14:paraId="52147D5B" w14:textId="77777777" w:rsidR="00A36BA5" w:rsidRPr="008270BA" w:rsidRDefault="008270BA">
            <w:pPr>
              <w:pStyle w:val="TableParagraph"/>
              <w:ind w:left="4122" w:right="4069"/>
              <w:jc w:val="center"/>
              <w:rPr>
                <w:b/>
                <w:w w:val="90"/>
                <w:sz w:val="24"/>
              </w:rPr>
            </w:pPr>
            <w:r w:rsidRPr="008270BA">
              <w:rPr>
                <w:b/>
                <w:w w:val="90"/>
                <w:sz w:val="24"/>
              </w:rPr>
              <w:t>Pilar 2: Tratar</w:t>
            </w:r>
          </w:p>
        </w:tc>
      </w:tr>
      <w:tr w:rsidR="00A36BA5" w:rsidRPr="008270BA" w14:paraId="332CD243" w14:textId="77777777">
        <w:trPr>
          <w:trHeight w:val="2040"/>
        </w:trPr>
        <w:tc>
          <w:tcPr>
            <w:tcW w:w="5020" w:type="dxa"/>
          </w:tcPr>
          <w:p w14:paraId="3692C5DE" w14:textId="77777777" w:rsidR="00A36BA5" w:rsidRPr="008270BA" w:rsidRDefault="008270BA">
            <w:pPr>
              <w:pStyle w:val="TableParagraph"/>
              <w:spacing w:before="0" w:line="252" w:lineRule="auto"/>
              <w:ind w:left="130" w:right="155"/>
              <w:rPr>
                <w:w w:val="90"/>
                <w:sz w:val="24"/>
              </w:rPr>
            </w:pPr>
            <w:r w:rsidRPr="008270BA">
              <w:rPr>
                <w:w w:val="90"/>
                <w:sz w:val="24"/>
              </w:rPr>
              <w:t xml:space="preserve">En 2019 en Filadelfia, el 9.5% de las PLWH (n=1,573) con evidencia de atención médica no habían alcanzado la supresión viral. Con base en las estimaciones de los Centros de Control de Enfermedades (Centers </w:t>
            </w:r>
            <w:proofErr w:type="spellStart"/>
            <w:r w:rsidRPr="008270BA">
              <w:rPr>
                <w:w w:val="90"/>
                <w:sz w:val="24"/>
              </w:rPr>
              <w:t>for</w:t>
            </w:r>
            <w:proofErr w:type="spellEnd"/>
            <w:r w:rsidRPr="008270BA">
              <w:rPr>
                <w:w w:val="90"/>
                <w:sz w:val="24"/>
              </w:rPr>
              <w:t xml:space="preserve"> </w:t>
            </w:r>
            <w:proofErr w:type="spellStart"/>
            <w:r w:rsidRPr="008270BA">
              <w:rPr>
                <w:w w:val="90"/>
                <w:sz w:val="24"/>
              </w:rPr>
              <w:t>Disease</w:t>
            </w:r>
            <w:proofErr w:type="spellEnd"/>
            <w:r w:rsidRPr="008270BA">
              <w:rPr>
                <w:w w:val="90"/>
                <w:sz w:val="24"/>
              </w:rPr>
              <w:t xml:space="preserve"> Control, CDC), estas personas representaron el 25% de las transmisiones de VIH en Filadelfia</w:t>
            </w:r>
            <w:r w:rsidRPr="008270BA">
              <w:rPr>
                <w:w w:val="90"/>
                <w:sz w:val="16"/>
              </w:rPr>
              <w:t>18</w:t>
            </w:r>
            <w:r w:rsidRPr="008270BA">
              <w:rPr>
                <w:w w:val="90"/>
                <w:sz w:val="24"/>
              </w:rPr>
              <w:t>. Además, 2,125 no tenían evidencia de atención médica en</w:t>
            </w:r>
          </w:p>
          <w:p w14:paraId="37BDA24D" w14:textId="77777777" w:rsidR="00A36BA5" w:rsidRPr="008270BA" w:rsidRDefault="008270BA">
            <w:pPr>
              <w:pStyle w:val="TableParagraph"/>
              <w:spacing w:before="6" w:line="270" w:lineRule="exact"/>
              <w:ind w:left="130"/>
              <w:rPr>
                <w:w w:val="90"/>
                <w:sz w:val="24"/>
              </w:rPr>
            </w:pPr>
            <w:r w:rsidRPr="008270BA">
              <w:rPr>
                <w:w w:val="90"/>
                <w:sz w:val="24"/>
              </w:rPr>
              <w:t>2019, lo que representa el 36% de las transmisiones de VIH</w:t>
            </w:r>
            <w:r w:rsidRPr="008270BA">
              <w:rPr>
                <w:w w:val="90"/>
                <w:sz w:val="16"/>
              </w:rPr>
              <w:t>18</w:t>
            </w:r>
            <w:r w:rsidRPr="008270BA">
              <w:rPr>
                <w:w w:val="90"/>
                <w:sz w:val="24"/>
              </w:rPr>
              <w:t>.</w:t>
            </w:r>
          </w:p>
        </w:tc>
        <w:tc>
          <w:tcPr>
            <w:tcW w:w="4940" w:type="dxa"/>
          </w:tcPr>
          <w:p w14:paraId="010836D9" w14:textId="77777777" w:rsidR="00A36BA5" w:rsidRPr="008270BA" w:rsidRDefault="008270BA">
            <w:pPr>
              <w:pStyle w:val="TableParagraph"/>
              <w:spacing w:before="0" w:line="254" w:lineRule="auto"/>
              <w:ind w:left="130" w:right="79"/>
              <w:rPr>
                <w:w w:val="90"/>
                <w:sz w:val="24"/>
              </w:rPr>
            </w:pPr>
            <w:r w:rsidRPr="008270BA">
              <w:rPr>
                <w:w w:val="90"/>
                <w:sz w:val="24"/>
              </w:rPr>
              <w:t>Mantener y expandir los servicios médicos centrales actuales y otros servicios financiados por Ryan White, así como también financiar servicios nuevos que respalden la reconexión, retención y tasas más altas de supresión viral.</w:t>
            </w:r>
          </w:p>
        </w:tc>
      </w:tr>
      <w:tr w:rsidR="00A36BA5" w:rsidRPr="008270BA" w14:paraId="4B57D94E" w14:textId="77777777">
        <w:trPr>
          <w:trHeight w:val="420"/>
        </w:trPr>
        <w:tc>
          <w:tcPr>
            <w:tcW w:w="9960" w:type="dxa"/>
            <w:gridSpan w:val="2"/>
            <w:shd w:val="clear" w:color="auto" w:fill="D9D9D9"/>
          </w:tcPr>
          <w:p w14:paraId="598B2D5B" w14:textId="77777777" w:rsidR="00A36BA5" w:rsidRPr="008270BA" w:rsidRDefault="008270BA">
            <w:pPr>
              <w:pStyle w:val="TableParagraph"/>
              <w:spacing w:before="75"/>
              <w:ind w:left="4122" w:right="4069"/>
              <w:jc w:val="center"/>
              <w:rPr>
                <w:b/>
                <w:w w:val="90"/>
                <w:sz w:val="24"/>
              </w:rPr>
            </w:pPr>
            <w:r w:rsidRPr="008270BA">
              <w:rPr>
                <w:b/>
                <w:w w:val="90"/>
                <w:sz w:val="24"/>
              </w:rPr>
              <w:t>Pilar 3: Prevenir</w:t>
            </w:r>
          </w:p>
        </w:tc>
      </w:tr>
      <w:tr w:rsidR="00A36BA5" w:rsidRPr="008270BA" w14:paraId="489332DD" w14:textId="77777777">
        <w:trPr>
          <w:trHeight w:val="2620"/>
        </w:trPr>
        <w:tc>
          <w:tcPr>
            <w:tcW w:w="5020" w:type="dxa"/>
          </w:tcPr>
          <w:p w14:paraId="04387462" w14:textId="77777777" w:rsidR="00A36BA5" w:rsidRPr="008270BA" w:rsidRDefault="008270BA">
            <w:pPr>
              <w:pStyle w:val="TableParagraph"/>
              <w:spacing w:before="0" w:line="254" w:lineRule="auto"/>
              <w:ind w:left="130" w:right="126"/>
              <w:rPr>
                <w:w w:val="90"/>
                <w:sz w:val="24"/>
              </w:rPr>
            </w:pPr>
            <w:r w:rsidRPr="008270BA">
              <w:rPr>
                <w:w w:val="90"/>
                <w:sz w:val="24"/>
              </w:rPr>
              <w:t>El PDPH estima que más de 310,000 ciudadanos de Filadelfia están en riesgo de contraer VIH. Se estima que 13,960 personas en Filadelfia que son VIH negativo tienen una indicación de PrEP. Este grupo grande incluye a 8,290 MSM, 2,570 PWID y 3,100 heterosexuales. Las indicaciones varían considerablemente por raza/etnia, con mayores</w:t>
            </w:r>
          </w:p>
          <w:p w14:paraId="04D58E6D" w14:textId="77777777" w:rsidR="00A36BA5" w:rsidRPr="008270BA" w:rsidRDefault="008270BA">
            <w:pPr>
              <w:pStyle w:val="TableParagraph"/>
              <w:spacing w:before="0" w:line="280" w:lineRule="atLeast"/>
              <w:ind w:left="130" w:right="124"/>
              <w:rPr>
                <w:w w:val="90"/>
                <w:sz w:val="24"/>
              </w:rPr>
            </w:pPr>
            <w:r w:rsidRPr="008270BA">
              <w:rPr>
                <w:w w:val="90"/>
                <w:sz w:val="24"/>
              </w:rPr>
              <w:t>proporciones de personas de color con una indicación de PrEP en todos los grupos de riesgo. Con base en una</w:t>
            </w:r>
          </w:p>
        </w:tc>
        <w:tc>
          <w:tcPr>
            <w:tcW w:w="4940" w:type="dxa"/>
          </w:tcPr>
          <w:p w14:paraId="0FC58F44" w14:textId="77777777" w:rsidR="00A36BA5" w:rsidRPr="008270BA" w:rsidRDefault="008270BA">
            <w:pPr>
              <w:pStyle w:val="TableParagraph"/>
              <w:spacing w:before="0" w:line="261" w:lineRule="auto"/>
              <w:ind w:left="130" w:right="906"/>
              <w:rPr>
                <w:w w:val="90"/>
                <w:sz w:val="24"/>
              </w:rPr>
            </w:pPr>
            <w:r w:rsidRPr="008270BA">
              <w:rPr>
                <w:w w:val="90"/>
                <w:sz w:val="24"/>
              </w:rPr>
              <w:t xml:space="preserve">Mantener el programa de distribución de condones. Expandir el acceso a PrEP, </w:t>
            </w:r>
            <w:proofErr w:type="spellStart"/>
            <w:r w:rsidRPr="008270BA">
              <w:rPr>
                <w:w w:val="90"/>
                <w:sz w:val="24"/>
              </w:rPr>
              <w:t>nPEP</w:t>
            </w:r>
            <w:proofErr w:type="spellEnd"/>
            <w:r w:rsidRPr="008270BA">
              <w:rPr>
                <w:w w:val="90"/>
                <w:sz w:val="24"/>
              </w:rPr>
              <w:t>.</w:t>
            </w:r>
          </w:p>
          <w:p w14:paraId="2915E8DD" w14:textId="77777777" w:rsidR="00A36BA5" w:rsidRPr="008270BA" w:rsidRDefault="008270BA">
            <w:pPr>
              <w:pStyle w:val="TableParagraph"/>
              <w:spacing w:before="0" w:line="274" w:lineRule="exact"/>
              <w:ind w:left="130"/>
              <w:rPr>
                <w:w w:val="90"/>
                <w:sz w:val="24"/>
              </w:rPr>
            </w:pPr>
            <w:r w:rsidRPr="008270BA">
              <w:rPr>
                <w:w w:val="90"/>
                <w:sz w:val="24"/>
              </w:rPr>
              <w:t>Expandir los programas de servicios de jeringas.</w:t>
            </w:r>
          </w:p>
        </w:tc>
      </w:tr>
    </w:tbl>
    <w:p w14:paraId="52131430" w14:textId="77777777" w:rsidR="00A36BA5" w:rsidRPr="008270BA" w:rsidRDefault="00A36BA5">
      <w:pPr>
        <w:spacing w:line="274" w:lineRule="exact"/>
        <w:rPr>
          <w:w w:val="90"/>
          <w:sz w:val="24"/>
        </w:rPr>
        <w:sectPr w:rsidR="00A36BA5" w:rsidRPr="008270BA">
          <w:pgSz w:w="12240" w:h="15840"/>
          <w:pgMar w:top="1240" w:right="980" w:bottom="1120" w:left="1060" w:header="731" w:footer="917" w:gutter="0"/>
          <w:cols w:space="720"/>
        </w:sectPr>
      </w:pPr>
    </w:p>
    <w:p w14:paraId="40FA4F5A" w14:textId="77777777" w:rsidR="00A36BA5" w:rsidRPr="008270BA" w:rsidRDefault="00A36BA5">
      <w:pPr>
        <w:pStyle w:val="BodyText"/>
        <w:spacing w:before="7"/>
        <w:rPr>
          <w:w w:val="90"/>
          <w:sz w:val="8"/>
        </w:rPr>
      </w:pPr>
    </w:p>
    <w:tbl>
      <w:tblPr>
        <w:tblStyle w:val="TableNormal1"/>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20"/>
        <w:gridCol w:w="4940"/>
      </w:tblGrid>
      <w:tr w:rsidR="00A36BA5" w:rsidRPr="008270BA" w14:paraId="1E23A083" w14:textId="77777777">
        <w:trPr>
          <w:trHeight w:val="420"/>
        </w:trPr>
        <w:tc>
          <w:tcPr>
            <w:tcW w:w="9960" w:type="dxa"/>
            <w:gridSpan w:val="2"/>
            <w:shd w:val="clear" w:color="auto" w:fill="002060"/>
          </w:tcPr>
          <w:p w14:paraId="5DC30856" w14:textId="77777777" w:rsidR="00A36BA5" w:rsidRPr="008270BA" w:rsidRDefault="008270BA" w:rsidP="00B2692E">
            <w:pPr>
              <w:pStyle w:val="TableParagraph"/>
              <w:spacing w:before="75"/>
              <w:ind w:left="32"/>
              <w:rPr>
                <w:b/>
                <w:w w:val="90"/>
                <w:sz w:val="24"/>
              </w:rPr>
            </w:pPr>
            <w:r w:rsidRPr="008270BA">
              <w:rPr>
                <w:b/>
                <w:color w:val="FFFFFF"/>
                <w:w w:val="90"/>
                <w:sz w:val="24"/>
              </w:rPr>
              <w:t>Tabla 1: Información de la evaluación de necesidades para la jurisdicción de Filadelfia por pilar</w:t>
            </w:r>
          </w:p>
        </w:tc>
      </w:tr>
      <w:tr w:rsidR="00A36BA5" w:rsidRPr="008270BA" w14:paraId="08F7C0A5" w14:textId="77777777">
        <w:trPr>
          <w:trHeight w:val="420"/>
        </w:trPr>
        <w:tc>
          <w:tcPr>
            <w:tcW w:w="5020" w:type="dxa"/>
            <w:shd w:val="clear" w:color="auto" w:fill="002060"/>
          </w:tcPr>
          <w:p w14:paraId="57D19030" w14:textId="77777777" w:rsidR="00A36BA5" w:rsidRPr="008270BA" w:rsidRDefault="008270BA">
            <w:pPr>
              <w:pStyle w:val="TableParagraph"/>
              <w:spacing w:before="75"/>
              <w:ind w:left="1729"/>
              <w:rPr>
                <w:b/>
                <w:w w:val="90"/>
                <w:sz w:val="24"/>
              </w:rPr>
            </w:pPr>
            <w:r w:rsidRPr="008270BA">
              <w:rPr>
                <w:b/>
                <w:color w:val="FFFFFF"/>
                <w:w w:val="90"/>
                <w:sz w:val="24"/>
              </w:rPr>
              <w:t>Necesidades y brechas</w:t>
            </w:r>
          </w:p>
        </w:tc>
        <w:tc>
          <w:tcPr>
            <w:tcW w:w="4940" w:type="dxa"/>
            <w:shd w:val="clear" w:color="auto" w:fill="002060"/>
          </w:tcPr>
          <w:p w14:paraId="1D957009" w14:textId="77777777" w:rsidR="00A36BA5" w:rsidRPr="008270BA" w:rsidRDefault="008270BA">
            <w:pPr>
              <w:pStyle w:val="TableParagraph"/>
              <w:spacing w:before="75"/>
              <w:ind w:left="600"/>
              <w:rPr>
                <w:b/>
                <w:w w:val="90"/>
                <w:sz w:val="24"/>
              </w:rPr>
            </w:pPr>
            <w:r w:rsidRPr="008270BA">
              <w:rPr>
                <w:b/>
                <w:color w:val="FFFFFF"/>
                <w:w w:val="90"/>
                <w:sz w:val="24"/>
              </w:rPr>
              <w:t>Estrategias para abordar las necesidades y brechas</w:t>
            </w:r>
          </w:p>
        </w:tc>
      </w:tr>
      <w:tr w:rsidR="00A36BA5" w:rsidRPr="008270BA" w14:paraId="5791FED1" w14:textId="77777777">
        <w:trPr>
          <w:trHeight w:val="2040"/>
        </w:trPr>
        <w:tc>
          <w:tcPr>
            <w:tcW w:w="5020" w:type="dxa"/>
          </w:tcPr>
          <w:p w14:paraId="23A63656" w14:textId="77777777" w:rsidR="00A36BA5" w:rsidRPr="008270BA" w:rsidRDefault="008270BA">
            <w:pPr>
              <w:pStyle w:val="TableParagraph"/>
              <w:spacing w:before="0" w:line="256" w:lineRule="auto"/>
              <w:ind w:left="130" w:right="81"/>
              <w:rPr>
                <w:w w:val="90"/>
                <w:sz w:val="24"/>
              </w:rPr>
            </w:pPr>
            <w:r w:rsidRPr="008270BA">
              <w:rPr>
                <w:w w:val="90"/>
                <w:sz w:val="24"/>
              </w:rPr>
              <w:t>encuesta reciente a personas que recetan PrEP, el PDPH estima que, como mínimo, 2,790 personas están usando PrEP (el 21% de todas las personas con una indicación) en Filadelfia en 2018, lo que muestra una brecha de PrEP de 10,323 personas. La crisis de opioides en curso en Filadelfia ha</w:t>
            </w:r>
          </w:p>
          <w:p w14:paraId="3A7F4427" w14:textId="77777777" w:rsidR="00A36BA5" w:rsidRPr="008270BA" w:rsidRDefault="008270BA">
            <w:pPr>
              <w:pStyle w:val="TableParagraph"/>
              <w:spacing w:before="0" w:line="280" w:lineRule="exact"/>
              <w:ind w:left="130"/>
              <w:rPr>
                <w:w w:val="90"/>
                <w:sz w:val="24"/>
              </w:rPr>
            </w:pPr>
            <w:r w:rsidRPr="008270BA">
              <w:rPr>
                <w:w w:val="90"/>
                <w:sz w:val="24"/>
              </w:rPr>
              <w:t>abrumado los programas de servicios de jeringas existentes en Filadelfia.</w:t>
            </w:r>
          </w:p>
        </w:tc>
        <w:tc>
          <w:tcPr>
            <w:tcW w:w="4940" w:type="dxa"/>
          </w:tcPr>
          <w:p w14:paraId="3F666DE0" w14:textId="77777777" w:rsidR="00A36BA5" w:rsidRPr="008270BA" w:rsidRDefault="00A36BA5">
            <w:pPr>
              <w:pStyle w:val="TableParagraph"/>
              <w:spacing w:before="0"/>
              <w:rPr>
                <w:rFonts w:ascii="Times New Roman"/>
                <w:w w:val="90"/>
                <w:sz w:val="24"/>
              </w:rPr>
            </w:pPr>
          </w:p>
        </w:tc>
      </w:tr>
      <w:tr w:rsidR="00A36BA5" w:rsidRPr="008270BA" w14:paraId="18D1AEEF" w14:textId="77777777">
        <w:trPr>
          <w:trHeight w:val="420"/>
        </w:trPr>
        <w:tc>
          <w:tcPr>
            <w:tcW w:w="9960" w:type="dxa"/>
            <w:gridSpan w:val="2"/>
            <w:shd w:val="clear" w:color="auto" w:fill="D9D9D9"/>
          </w:tcPr>
          <w:p w14:paraId="16E98CF7" w14:textId="77777777" w:rsidR="00A36BA5" w:rsidRPr="008270BA" w:rsidRDefault="008270BA">
            <w:pPr>
              <w:pStyle w:val="TableParagraph"/>
              <w:spacing w:before="75"/>
              <w:ind w:left="4122" w:right="4068"/>
              <w:jc w:val="center"/>
              <w:rPr>
                <w:b/>
                <w:w w:val="90"/>
                <w:sz w:val="24"/>
              </w:rPr>
            </w:pPr>
            <w:r w:rsidRPr="008270BA">
              <w:rPr>
                <w:b/>
                <w:w w:val="90"/>
                <w:sz w:val="24"/>
              </w:rPr>
              <w:t>Pilar 4: Responder</w:t>
            </w:r>
          </w:p>
        </w:tc>
      </w:tr>
      <w:tr w:rsidR="00A36BA5" w:rsidRPr="008270BA" w14:paraId="664EDC74" w14:textId="77777777">
        <w:trPr>
          <w:trHeight w:val="4080"/>
        </w:trPr>
        <w:tc>
          <w:tcPr>
            <w:tcW w:w="5020" w:type="dxa"/>
          </w:tcPr>
          <w:p w14:paraId="3F30BA13" w14:textId="77777777" w:rsidR="00A36BA5" w:rsidRPr="008270BA" w:rsidRDefault="008270BA">
            <w:pPr>
              <w:pStyle w:val="TableParagraph"/>
              <w:spacing w:before="0" w:line="254" w:lineRule="auto"/>
              <w:ind w:left="130" w:right="429"/>
              <w:rPr>
                <w:w w:val="90"/>
                <w:sz w:val="24"/>
              </w:rPr>
            </w:pPr>
            <w:r w:rsidRPr="008270BA">
              <w:rPr>
                <w:w w:val="90"/>
                <w:sz w:val="24"/>
              </w:rPr>
              <w:t>Recientemente, el PDPH identificó un brote de infecciones de VIH entre las PWID</w:t>
            </w:r>
            <w:r w:rsidRPr="008270BA">
              <w:rPr>
                <w:w w:val="90"/>
                <w:sz w:val="16"/>
              </w:rPr>
              <w:t>2</w:t>
            </w:r>
            <w:r w:rsidRPr="008270BA">
              <w:rPr>
                <w:w w:val="90"/>
                <w:sz w:val="24"/>
              </w:rPr>
              <w:t>. En 2019, se informaron 83 casos nuevos de VIH entre PWID, lo que refleja un aumento del 151% desde 2016.</w:t>
            </w:r>
          </w:p>
          <w:p w14:paraId="4B5F4E08" w14:textId="77777777" w:rsidR="00A36BA5" w:rsidRPr="008270BA" w:rsidRDefault="008270BA">
            <w:pPr>
              <w:pStyle w:val="TableParagraph"/>
              <w:spacing w:before="0" w:line="254" w:lineRule="auto"/>
              <w:ind w:left="130" w:right="67"/>
              <w:rPr>
                <w:w w:val="90"/>
                <w:sz w:val="24"/>
              </w:rPr>
            </w:pPr>
            <w:r w:rsidRPr="008270BA">
              <w:rPr>
                <w:w w:val="90"/>
                <w:sz w:val="24"/>
              </w:rPr>
              <w:t>Mientras tanto, el brote en Filadelfia sigue estando concentrado entre MSM, lo que indica la necesidad de investigar nuevos casos en todos los grupos de riesgo. En 2019, las tasas de nuevos diagnósticos de VIH eran más de 2.5 veces mayores entre MSM en comparación con PWID, y más de 26 veces mayores entre heterosexuales, en comparación con MSM (891 nuevos diagnósticos de VIH por cada 100,000 personas en MSM, en comparación con 321 por cada 100,000 entre PWID y</w:t>
            </w:r>
          </w:p>
          <w:p w14:paraId="22416EA9" w14:textId="77777777" w:rsidR="00A36BA5" w:rsidRPr="008270BA" w:rsidRDefault="008270BA">
            <w:pPr>
              <w:pStyle w:val="TableParagraph"/>
              <w:spacing w:before="7" w:line="245" w:lineRule="exact"/>
              <w:ind w:left="130"/>
              <w:rPr>
                <w:w w:val="90"/>
                <w:sz w:val="24"/>
              </w:rPr>
            </w:pPr>
            <w:r w:rsidRPr="008270BA">
              <w:rPr>
                <w:w w:val="90"/>
                <w:sz w:val="24"/>
              </w:rPr>
              <w:t>34 por cada 100,000 en heterosexuales).</w:t>
            </w:r>
          </w:p>
        </w:tc>
        <w:tc>
          <w:tcPr>
            <w:tcW w:w="4940" w:type="dxa"/>
          </w:tcPr>
          <w:p w14:paraId="433F167F" w14:textId="77777777" w:rsidR="00A36BA5" w:rsidRPr="008270BA" w:rsidRDefault="008270BA">
            <w:pPr>
              <w:pStyle w:val="TableParagraph"/>
              <w:spacing w:before="0" w:line="254" w:lineRule="auto"/>
              <w:ind w:left="130" w:right="111"/>
              <w:jc w:val="both"/>
              <w:rPr>
                <w:w w:val="90"/>
                <w:sz w:val="24"/>
              </w:rPr>
            </w:pPr>
            <w:r w:rsidRPr="008270BA">
              <w:rPr>
                <w:w w:val="90"/>
                <w:sz w:val="24"/>
              </w:rPr>
              <w:t>Investigar y responder a todos los casos de VIH relacionados para detener cadenas de transmisión. Iniciar la respuesta al brote. Realizar cambios sistémicos basados en los datos.</w:t>
            </w:r>
          </w:p>
        </w:tc>
      </w:tr>
    </w:tbl>
    <w:p w14:paraId="7A6C3191" w14:textId="77777777" w:rsidR="00A36BA5" w:rsidRPr="008270BA" w:rsidRDefault="00A36BA5">
      <w:pPr>
        <w:pStyle w:val="BodyText"/>
        <w:rPr>
          <w:w w:val="90"/>
          <w:sz w:val="20"/>
        </w:rPr>
      </w:pPr>
    </w:p>
    <w:p w14:paraId="23B6894E" w14:textId="77777777" w:rsidR="00A36BA5" w:rsidRPr="008270BA" w:rsidRDefault="00A36BA5">
      <w:pPr>
        <w:pStyle w:val="BodyText"/>
        <w:rPr>
          <w:w w:val="90"/>
          <w:sz w:val="20"/>
        </w:rPr>
      </w:pPr>
    </w:p>
    <w:p w14:paraId="2CBE321B" w14:textId="77777777" w:rsidR="00A36BA5" w:rsidRPr="008270BA" w:rsidRDefault="00A36BA5">
      <w:pPr>
        <w:pStyle w:val="BodyText"/>
        <w:rPr>
          <w:w w:val="90"/>
          <w:sz w:val="20"/>
        </w:rPr>
      </w:pPr>
    </w:p>
    <w:p w14:paraId="1794F533" w14:textId="77777777" w:rsidR="00A36BA5" w:rsidRPr="008270BA" w:rsidRDefault="00A36BA5">
      <w:pPr>
        <w:pStyle w:val="BodyText"/>
        <w:spacing w:before="7"/>
        <w:rPr>
          <w:w w:val="90"/>
        </w:rPr>
      </w:pPr>
    </w:p>
    <w:p w14:paraId="488F72A1" w14:textId="77777777" w:rsidR="00A36BA5" w:rsidRPr="008270BA" w:rsidRDefault="008270BA">
      <w:pPr>
        <w:pStyle w:val="Heading2"/>
        <w:spacing w:before="105"/>
        <w:rPr>
          <w:w w:val="90"/>
        </w:rPr>
      </w:pPr>
      <w:bookmarkStart w:id="8" w:name="_TOC_250016"/>
      <w:r w:rsidRPr="008270BA">
        <w:rPr>
          <w:w w:val="90"/>
        </w:rPr>
        <w:t xml:space="preserve">Pilar 1: </w:t>
      </w:r>
      <w:bookmarkEnd w:id="8"/>
      <w:r w:rsidRPr="008270BA">
        <w:rPr>
          <w:w w:val="90"/>
        </w:rPr>
        <w:t>Diagnosticar</w:t>
      </w:r>
    </w:p>
    <w:p w14:paraId="422D60CE" w14:textId="77777777" w:rsidR="00A36BA5" w:rsidRPr="008270BA" w:rsidRDefault="00A36BA5">
      <w:pPr>
        <w:pStyle w:val="BodyText"/>
        <w:spacing w:before="10"/>
        <w:rPr>
          <w:w w:val="90"/>
          <w:sz w:val="30"/>
        </w:rPr>
      </w:pPr>
    </w:p>
    <w:p w14:paraId="61E7A244" w14:textId="77777777" w:rsidR="00A36BA5" w:rsidRPr="008270BA" w:rsidRDefault="008270BA">
      <w:pPr>
        <w:pStyle w:val="BodyText"/>
        <w:spacing w:line="254" w:lineRule="auto"/>
        <w:ind w:left="380" w:right="558"/>
        <w:rPr>
          <w:w w:val="90"/>
        </w:rPr>
      </w:pPr>
      <w:r w:rsidRPr="008270BA">
        <w:rPr>
          <w:w w:val="90"/>
        </w:rPr>
        <w:t xml:space="preserve">Filadelfia cuenta con una red establecida de sitios de prueba en diversos entornos y, recientemente, implementó la distribución de kits de prueba de VIH en el hogar. En 2018, se realizaron casi 70,000 pruebas de VIH financiadas públicamente en Filadelfia. Además de los programas comunitarios de prueba de VIH, los esfuerzos financiados por el PDPH incluyen pruebas de las que uno puede decidir excluirse en tres grandes departamentos de emergencia, dos hospitales pediátricos y el Departamento de Prisiones de Filadelfia. Los esfuerzos en las prisiones han sigo enormemente exitosos, y se realizan pruebas a la mayoría de los prisioneros </w:t>
      </w:r>
      <w:r w:rsidRPr="008270BA">
        <w:rPr>
          <w:w w:val="90"/>
        </w:rPr>
        <w:lastRenderedPageBreak/>
        <w:t>durante el proceso de admisión.</w:t>
      </w:r>
    </w:p>
    <w:p w14:paraId="0E48E5F8" w14:textId="77777777" w:rsidR="00A36BA5" w:rsidRPr="008270BA" w:rsidRDefault="00A36BA5">
      <w:pPr>
        <w:pStyle w:val="BodyText"/>
        <w:rPr>
          <w:w w:val="90"/>
          <w:sz w:val="20"/>
        </w:rPr>
      </w:pPr>
    </w:p>
    <w:p w14:paraId="1DAB17B7" w14:textId="77777777" w:rsidR="00A36BA5" w:rsidRPr="008270BA" w:rsidRDefault="00A36BA5">
      <w:pPr>
        <w:pStyle w:val="BodyText"/>
        <w:spacing w:before="1"/>
        <w:rPr>
          <w:w w:val="90"/>
          <w:sz w:val="19"/>
        </w:rPr>
      </w:pPr>
    </w:p>
    <w:tbl>
      <w:tblPr>
        <w:tblStyle w:val="TableNormal1"/>
        <w:tblW w:w="0" w:type="auto"/>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40"/>
        <w:gridCol w:w="2240"/>
        <w:gridCol w:w="2340"/>
        <w:gridCol w:w="2340"/>
      </w:tblGrid>
      <w:tr w:rsidR="00A36BA5" w:rsidRPr="008270BA" w14:paraId="31613E2B" w14:textId="77777777">
        <w:trPr>
          <w:trHeight w:val="280"/>
        </w:trPr>
        <w:tc>
          <w:tcPr>
            <w:tcW w:w="9360" w:type="dxa"/>
            <w:gridSpan w:val="4"/>
            <w:shd w:val="clear" w:color="auto" w:fill="002060"/>
          </w:tcPr>
          <w:p w14:paraId="47B978EF" w14:textId="77777777" w:rsidR="00A36BA5" w:rsidRPr="008270BA" w:rsidRDefault="008270BA">
            <w:pPr>
              <w:pStyle w:val="TableParagraph"/>
              <w:spacing w:before="0" w:line="260" w:lineRule="exact"/>
              <w:ind w:left="1918" w:right="1895"/>
              <w:jc w:val="center"/>
              <w:rPr>
                <w:b/>
                <w:w w:val="90"/>
                <w:sz w:val="24"/>
              </w:rPr>
            </w:pPr>
            <w:r w:rsidRPr="008270BA">
              <w:rPr>
                <w:b/>
                <w:color w:val="FFFFFF"/>
                <w:w w:val="90"/>
                <w:sz w:val="24"/>
              </w:rPr>
              <w:t>Tabla 2: Pruebas de VIH financiadas por el PDPH en Filadelfia, 2019</w:t>
            </w:r>
          </w:p>
        </w:tc>
      </w:tr>
      <w:tr w:rsidR="00A36BA5" w:rsidRPr="008270BA" w14:paraId="493DF1C8" w14:textId="77777777">
        <w:trPr>
          <w:trHeight w:val="880"/>
        </w:trPr>
        <w:tc>
          <w:tcPr>
            <w:tcW w:w="2440" w:type="dxa"/>
            <w:shd w:val="clear" w:color="auto" w:fill="D0CECE"/>
          </w:tcPr>
          <w:p w14:paraId="7A9ACD30" w14:textId="77777777" w:rsidR="00A36BA5" w:rsidRPr="008270BA" w:rsidRDefault="008270BA">
            <w:pPr>
              <w:pStyle w:val="TableParagraph"/>
              <w:spacing w:before="15"/>
              <w:ind w:left="789"/>
              <w:rPr>
                <w:b/>
                <w:w w:val="90"/>
                <w:sz w:val="24"/>
              </w:rPr>
            </w:pPr>
            <w:r w:rsidRPr="008270BA">
              <w:rPr>
                <w:b/>
                <w:w w:val="90"/>
                <w:sz w:val="24"/>
              </w:rPr>
              <w:t>Ubicación</w:t>
            </w:r>
          </w:p>
        </w:tc>
        <w:tc>
          <w:tcPr>
            <w:tcW w:w="2240" w:type="dxa"/>
            <w:shd w:val="clear" w:color="auto" w:fill="D0CECE"/>
          </w:tcPr>
          <w:p w14:paraId="1FBE94EA" w14:textId="77777777" w:rsidR="00A36BA5" w:rsidRPr="008270BA" w:rsidRDefault="008270BA" w:rsidP="00B2692E">
            <w:pPr>
              <w:pStyle w:val="TableParagraph"/>
              <w:spacing w:before="15" w:line="242" w:lineRule="auto"/>
              <w:ind w:left="269" w:right="546"/>
              <w:jc w:val="center"/>
              <w:rPr>
                <w:b/>
                <w:w w:val="90"/>
                <w:sz w:val="24"/>
              </w:rPr>
            </w:pPr>
            <w:r w:rsidRPr="008270BA">
              <w:rPr>
                <w:b/>
                <w:w w:val="90"/>
                <w:sz w:val="24"/>
              </w:rPr>
              <w:t>Cantidad de pruebas de VIH</w:t>
            </w:r>
          </w:p>
          <w:p w14:paraId="6D638CD4" w14:textId="77777777" w:rsidR="00A36BA5" w:rsidRPr="008270BA" w:rsidRDefault="008270BA" w:rsidP="00B2692E">
            <w:pPr>
              <w:pStyle w:val="TableParagraph"/>
              <w:spacing w:before="22" w:line="265" w:lineRule="exact"/>
              <w:ind w:left="269" w:right="546"/>
              <w:jc w:val="center"/>
              <w:rPr>
                <w:b/>
                <w:w w:val="90"/>
                <w:sz w:val="24"/>
              </w:rPr>
            </w:pPr>
            <w:r w:rsidRPr="008270BA">
              <w:rPr>
                <w:b/>
                <w:w w:val="90"/>
                <w:sz w:val="24"/>
              </w:rPr>
              <w:t>realizadas</w:t>
            </w:r>
          </w:p>
        </w:tc>
        <w:tc>
          <w:tcPr>
            <w:tcW w:w="2340" w:type="dxa"/>
            <w:shd w:val="clear" w:color="auto" w:fill="D0CECE"/>
          </w:tcPr>
          <w:p w14:paraId="1F1E8738" w14:textId="77777777" w:rsidR="00A36BA5" w:rsidRPr="008270BA" w:rsidRDefault="008270BA" w:rsidP="00B2692E">
            <w:pPr>
              <w:pStyle w:val="TableParagraph"/>
              <w:tabs>
                <w:tab w:val="left" w:pos="1795"/>
              </w:tabs>
              <w:spacing w:before="15" w:line="242" w:lineRule="auto"/>
              <w:ind w:left="572" w:right="539" w:firstLine="8"/>
              <w:jc w:val="center"/>
              <w:rPr>
                <w:b/>
                <w:w w:val="90"/>
                <w:sz w:val="24"/>
              </w:rPr>
            </w:pPr>
            <w:r w:rsidRPr="008270BA">
              <w:rPr>
                <w:b/>
                <w:w w:val="90"/>
                <w:sz w:val="24"/>
              </w:rPr>
              <w:t>Cantidad de resultados VIH positivo</w:t>
            </w:r>
          </w:p>
        </w:tc>
        <w:tc>
          <w:tcPr>
            <w:tcW w:w="2340" w:type="dxa"/>
            <w:shd w:val="clear" w:color="auto" w:fill="D0CECE"/>
          </w:tcPr>
          <w:p w14:paraId="71363FE4" w14:textId="77777777" w:rsidR="00A36BA5" w:rsidRPr="008270BA" w:rsidRDefault="008270BA" w:rsidP="00B2692E">
            <w:pPr>
              <w:pStyle w:val="TableParagraph"/>
              <w:tabs>
                <w:tab w:val="left" w:pos="1795"/>
              </w:tabs>
              <w:spacing w:before="15" w:line="242" w:lineRule="auto"/>
              <w:ind w:left="665" w:firstLine="8"/>
              <w:jc w:val="center"/>
              <w:rPr>
                <w:b/>
                <w:w w:val="90"/>
                <w:sz w:val="24"/>
              </w:rPr>
            </w:pPr>
            <w:r w:rsidRPr="008270BA">
              <w:rPr>
                <w:b/>
                <w:w w:val="90"/>
                <w:sz w:val="24"/>
              </w:rPr>
              <w:t>Cantidad de nuevos diagnósticos de VIH</w:t>
            </w:r>
          </w:p>
        </w:tc>
      </w:tr>
      <w:tr w:rsidR="00A36BA5" w:rsidRPr="008270BA" w14:paraId="37AE729C" w14:textId="77777777">
        <w:trPr>
          <w:trHeight w:val="580"/>
        </w:trPr>
        <w:tc>
          <w:tcPr>
            <w:tcW w:w="2440" w:type="dxa"/>
          </w:tcPr>
          <w:p w14:paraId="68716B7B" w14:textId="77777777" w:rsidR="00A36BA5" w:rsidRPr="008270BA" w:rsidRDefault="008270BA">
            <w:pPr>
              <w:pStyle w:val="TableParagraph"/>
              <w:spacing w:before="0" w:line="271" w:lineRule="exact"/>
              <w:ind w:left="110"/>
              <w:rPr>
                <w:w w:val="90"/>
                <w:sz w:val="24"/>
              </w:rPr>
            </w:pPr>
            <w:r w:rsidRPr="008270BA">
              <w:rPr>
                <w:w w:val="90"/>
                <w:sz w:val="24"/>
              </w:rPr>
              <w:t>Entornos</w:t>
            </w:r>
          </w:p>
          <w:p w14:paraId="6235481D" w14:textId="77777777" w:rsidR="00A36BA5" w:rsidRPr="008270BA" w:rsidRDefault="008270BA">
            <w:pPr>
              <w:pStyle w:val="TableParagraph"/>
              <w:spacing w:before="24" w:line="265" w:lineRule="exact"/>
              <w:ind w:left="110"/>
              <w:rPr>
                <w:w w:val="90"/>
                <w:sz w:val="24"/>
              </w:rPr>
            </w:pPr>
            <w:r w:rsidRPr="008270BA">
              <w:rPr>
                <w:w w:val="90"/>
                <w:sz w:val="24"/>
              </w:rPr>
              <w:t>comunitarios</w:t>
            </w:r>
          </w:p>
        </w:tc>
        <w:tc>
          <w:tcPr>
            <w:tcW w:w="2240" w:type="dxa"/>
          </w:tcPr>
          <w:p w14:paraId="311C7919" w14:textId="77777777" w:rsidR="00A36BA5" w:rsidRPr="008270BA" w:rsidRDefault="008270BA">
            <w:pPr>
              <w:pStyle w:val="TableParagraph"/>
              <w:spacing w:before="0" w:line="227" w:lineRule="exact"/>
              <w:ind w:left="772" w:right="734"/>
              <w:jc w:val="center"/>
              <w:rPr>
                <w:w w:val="90"/>
              </w:rPr>
            </w:pPr>
            <w:r w:rsidRPr="008270BA">
              <w:rPr>
                <w:w w:val="90"/>
              </w:rPr>
              <w:t>19,105</w:t>
            </w:r>
          </w:p>
        </w:tc>
        <w:tc>
          <w:tcPr>
            <w:tcW w:w="2340" w:type="dxa"/>
          </w:tcPr>
          <w:p w14:paraId="2C5E7186" w14:textId="77777777" w:rsidR="00A36BA5" w:rsidRPr="008270BA" w:rsidRDefault="008270BA">
            <w:pPr>
              <w:pStyle w:val="TableParagraph"/>
              <w:spacing w:before="0" w:line="227" w:lineRule="exact"/>
              <w:ind w:left="967" w:right="944"/>
              <w:jc w:val="center"/>
              <w:rPr>
                <w:w w:val="90"/>
              </w:rPr>
            </w:pPr>
            <w:r w:rsidRPr="008270BA">
              <w:rPr>
                <w:w w:val="90"/>
              </w:rPr>
              <w:t>199</w:t>
            </w:r>
          </w:p>
        </w:tc>
        <w:tc>
          <w:tcPr>
            <w:tcW w:w="2340" w:type="dxa"/>
          </w:tcPr>
          <w:p w14:paraId="3E35F96C" w14:textId="77777777" w:rsidR="00A36BA5" w:rsidRPr="008270BA" w:rsidRDefault="008270BA">
            <w:pPr>
              <w:pStyle w:val="TableParagraph"/>
              <w:spacing w:before="0" w:line="227" w:lineRule="exact"/>
              <w:ind w:left="967" w:right="944"/>
              <w:jc w:val="center"/>
              <w:rPr>
                <w:w w:val="90"/>
              </w:rPr>
            </w:pPr>
            <w:r w:rsidRPr="008270BA">
              <w:rPr>
                <w:w w:val="90"/>
              </w:rPr>
              <w:t>51</w:t>
            </w:r>
          </w:p>
        </w:tc>
      </w:tr>
      <w:tr w:rsidR="00A36BA5" w:rsidRPr="008270BA" w14:paraId="4D48A3E9" w14:textId="77777777">
        <w:trPr>
          <w:trHeight w:val="280"/>
        </w:trPr>
        <w:tc>
          <w:tcPr>
            <w:tcW w:w="2440" w:type="dxa"/>
          </w:tcPr>
          <w:p w14:paraId="3A6FA45D" w14:textId="77777777" w:rsidR="00A36BA5" w:rsidRPr="008270BA" w:rsidRDefault="008270BA">
            <w:pPr>
              <w:pStyle w:val="TableParagraph"/>
              <w:spacing w:before="0" w:line="260" w:lineRule="exact"/>
              <w:ind w:left="110"/>
              <w:rPr>
                <w:w w:val="90"/>
                <w:sz w:val="24"/>
              </w:rPr>
            </w:pPr>
            <w:r w:rsidRPr="008270BA">
              <w:rPr>
                <w:w w:val="90"/>
                <w:sz w:val="24"/>
              </w:rPr>
              <w:t>Entornos clínicos</w:t>
            </w:r>
          </w:p>
        </w:tc>
        <w:tc>
          <w:tcPr>
            <w:tcW w:w="2240" w:type="dxa"/>
          </w:tcPr>
          <w:p w14:paraId="68014785" w14:textId="77777777" w:rsidR="00A36BA5" w:rsidRPr="008270BA" w:rsidRDefault="008270BA">
            <w:pPr>
              <w:pStyle w:val="TableParagraph"/>
              <w:spacing w:before="0" w:line="227" w:lineRule="exact"/>
              <w:ind w:left="772" w:right="734"/>
              <w:jc w:val="center"/>
              <w:rPr>
                <w:w w:val="90"/>
              </w:rPr>
            </w:pPr>
            <w:r w:rsidRPr="008270BA">
              <w:rPr>
                <w:w w:val="90"/>
              </w:rPr>
              <w:t>46,277</w:t>
            </w:r>
          </w:p>
        </w:tc>
        <w:tc>
          <w:tcPr>
            <w:tcW w:w="2340" w:type="dxa"/>
          </w:tcPr>
          <w:p w14:paraId="14219AF3" w14:textId="77777777" w:rsidR="00A36BA5" w:rsidRPr="008270BA" w:rsidRDefault="008270BA">
            <w:pPr>
              <w:pStyle w:val="TableParagraph"/>
              <w:spacing w:before="0" w:line="227" w:lineRule="exact"/>
              <w:ind w:left="967" w:right="944"/>
              <w:jc w:val="center"/>
              <w:rPr>
                <w:w w:val="90"/>
              </w:rPr>
            </w:pPr>
            <w:r w:rsidRPr="008270BA">
              <w:rPr>
                <w:w w:val="90"/>
              </w:rPr>
              <w:t>219</w:t>
            </w:r>
          </w:p>
        </w:tc>
        <w:tc>
          <w:tcPr>
            <w:tcW w:w="2340" w:type="dxa"/>
          </w:tcPr>
          <w:p w14:paraId="684229C0" w14:textId="77777777" w:rsidR="00A36BA5" w:rsidRPr="008270BA" w:rsidRDefault="008270BA">
            <w:pPr>
              <w:pStyle w:val="TableParagraph"/>
              <w:spacing w:before="0" w:line="227" w:lineRule="exact"/>
              <w:ind w:left="967" w:right="944"/>
              <w:jc w:val="center"/>
              <w:rPr>
                <w:w w:val="90"/>
              </w:rPr>
            </w:pPr>
            <w:r w:rsidRPr="008270BA">
              <w:rPr>
                <w:w w:val="90"/>
              </w:rPr>
              <w:t>78</w:t>
            </w:r>
          </w:p>
        </w:tc>
      </w:tr>
      <w:tr w:rsidR="00A36BA5" w:rsidRPr="008270BA" w14:paraId="438A25A6" w14:textId="77777777">
        <w:trPr>
          <w:trHeight w:val="580"/>
        </w:trPr>
        <w:tc>
          <w:tcPr>
            <w:tcW w:w="2440" w:type="dxa"/>
          </w:tcPr>
          <w:p w14:paraId="76C4F077" w14:textId="77777777" w:rsidR="00A36BA5" w:rsidRPr="008270BA" w:rsidRDefault="008270BA">
            <w:pPr>
              <w:pStyle w:val="TableParagraph"/>
              <w:spacing w:before="0" w:line="271" w:lineRule="exact"/>
              <w:ind w:left="110"/>
              <w:rPr>
                <w:w w:val="90"/>
                <w:sz w:val="24"/>
              </w:rPr>
            </w:pPr>
            <w:r w:rsidRPr="008270BA">
              <w:rPr>
                <w:w w:val="90"/>
                <w:sz w:val="24"/>
              </w:rPr>
              <w:t>Departamento de Prisiones</w:t>
            </w:r>
          </w:p>
          <w:p w14:paraId="7C4A08BA" w14:textId="77777777" w:rsidR="00A36BA5" w:rsidRPr="008270BA" w:rsidRDefault="008270BA">
            <w:pPr>
              <w:pStyle w:val="TableParagraph"/>
              <w:spacing w:before="24" w:line="265" w:lineRule="exact"/>
              <w:ind w:left="110"/>
              <w:rPr>
                <w:w w:val="90"/>
                <w:sz w:val="24"/>
              </w:rPr>
            </w:pPr>
            <w:r w:rsidRPr="008270BA">
              <w:rPr>
                <w:w w:val="90"/>
                <w:sz w:val="24"/>
              </w:rPr>
              <w:t>de Filadelfia</w:t>
            </w:r>
          </w:p>
        </w:tc>
        <w:tc>
          <w:tcPr>
            <w:tcW w:w="2240" w:type="dxa"/>
          </w:tcPr>
          <w:p w14:paraId="3F3DBF62" w14:textId="77777777" w:rsidR="00A36BA5" w:rsidRPr="008270BA" w:rsidRDefault="008270BA">
            <w:pPr>
              <w:pStyle w:val="TableParagraph"/>
              <w:spacing w:before="0" w:line="227" w:lineRule="exact"/>
              <w:ind w:left="772" w:right="734"/>
              <w:jc w:val="center"/>
              <w:rPr>
                <w:w w:val="90"/>
              </w:rPr>
            </w:pPr>
            <w:r w:rsidRPr="008270BA">
              <w:rPr>
                <w:w w:val="90"/>
              </w:rPr>
              <w:t>22,258</w:t>
            </w:r>
          </w:p>
        </w:tc>
        <w:tc>
          <w:tcPr>
            <w:tcW w:w="2340" w:type="dxa"/>
          </w:tcPr>
          <w:p w14:paraId="3EE3D729" w14:textId="77777777" w:rsidR="00A36BA5" w:rsidRPr="008270BA" w:rsidRDefault="008270BA">
            <w:pPr>
              <w:pStyle w:val="TableParagraph"/>
              <w:spacing w:before="0" w:line="227" w:lineRule="exact"/>
              <w:ind w:left="967" w:right="944"/>
              <w:jc w:val="center"/>
              <w:rPr>
                <w:w w:val="90"/>
              </w:rPr>
            </w:pPr>
            <w:r w:rsidRPr="008270BA">
              <w:rPr>
                <w:w w:val="90"/>
              </w:rPr>
              <w:t>81</w:t>
            </w:r>
          </w:p>
        </w:tc>
        <w:tc>
          <w:tcPr>
            <w:tcW w:w="2340" w:type="dxa"/>
          </w:tcPr>
          <w:p w14:paraId="45C22173" w14:textId="77777777" w:rsidR="00A36BA5" w:rsidRPr="008270BA" w:rsidRDefault="008270BA">
            <w:pPr>
              <w:pStyle w:val="TableParagraph"/>
              <w:spacing w:before="0" w:line="227" w:lineRule="exact"/>
              <w:ind w:left="967" w:right="944"/>
              <w:jc w:val="center"/>
              <w:rPr>
                <w:w w:val="90"/>
              </w:rPr>
            </w:pPr>
            <w:r w:rsidRPr="008270BA">
              <w:rPr>
                <w:w w:val="90"/>
              </w:rPr>
              <w:t>19</w:t>
            </w:r>
          </w:p>
        </w:tc>
      </w:tr>
      <w:tr w:rsidR="00A36BA5" w:rsidRPr="008270BA" w14:paraId="64B59B83" w14:textId="77777777">
        <w:trPr>
          <w:trHeight w:val="260"/>
        </w:trPr>
        <w:tc>
          <w:tcPr>
            <w:tcW w:w="2440" w:type="dxa"/>
            <w:shd w:val="clear" w:color="auto" w:fill="D0CECE"/>
          </w:tcPr>
          <w:p w14:paraId="25D32839" w14:textId="77777777" w:rsidR="00A36BA5" w:rsidRPr="008270BA" w:rsidRDefault="008270BA">
            <w:pPr>
              <w:pStyle w:val="TableParagraph"/>
              <w:spacing w:before="0" w:line="240" w:lineRule="exact"/>
              <w:ind w:left="110"/>
              <w:rPr>
                <w:b/>
                <w:w w:val="90"/>
                <w:sz w:val="24"/>
              </w:rPr>
            </w:pPr>
            <w:r w:rsidRPr="008270BA">
              <w:rPr>
                <w:b/>
                <w:w w:val="90"/>
                <w:sz w:val="24"/>
              </w:rPr>
              <w:t>Total</w:t>
            </w:r>
          </w:p>
        </w:tc>
        <w:tc>
          <w:tcPr>
            <w:tcW w:w="2240" w:type="dxa"/>
            <w:shd w:val="clear" w:color="auto" w:fill="D0CECE"/>
          </w:tcPr>
          <w:p w14:paraId="30BAE129" w14:textId="77777777" w:rsidR="00A36BA5" w:rsidRPr="008270BA" w:rsidRDefault="008270BA">
            <w:pPr>
              <w:pStyle w:val="TableParagraph"/>
              <w:spacing w:before="0" w:line="227" w:lineRule="exact"/>
              <w:ind w:left="772" w:right="734"/>
              <w:jc w:val="center"/>
              <w:rPr>
                <w:b/>
                <w:w w:val="90"/>
              </w:rPr>
            </w:pPr>
            <w:r w:rsidRPr="008270BA">
              <w:rPr>
                <w:b/>
                <w:w w:val="90"/>
              </w:rPr>
              <w:t>87,640</w:t>
            </w:r>
          </w:p>
        </w:tc>
        <w:tc>
          <w:tcPr>
            <w:tcW w:w="2340" w:type="dxa"/>
            <w:shd w:val="clear" w:color="auto" w:fill="D0CECE"/>
          </w:tcPr>
          <w:p w14:paraId="0C5C9C31" w14:textId="77777777" w:rsidR="00A36BA5" w:rsidRPr="008270BA" w:rsidRDefault="008270BA">
            <w:pPr>
              <w:pStyle w:val="TableParagraph"/>
              <w:spacing w:before="0" w:line="227" w:lineRule="exact"/>
              <w:ind w:left="967" w:right="944"/>
              <w:jc w:val="center"/>
              <w:rPr>
                <w:b/>
                <w:w w:val="90"/>
              </w:rPr>
            </w:pPr>
            <w:r w:rsidRPr="008270BA">
              <w:rPr>
                <w:b/>
                <w:w w:val="90"/>
              </w:rPr>
              <w:t>499</w:t>
            </w:r>
          </w:p>
        </w:tc>
        <w:tc>
          <w:tcPr>
            <w:tcW w:w="2340" w:type="dxa"/>
            <w:shd w:val="clear" w:color="auto" w:fill="D0CECE"/>
          </w:tcPr>
          <w:p w14:paraId="57E0C36A" w14:textId="77777777" w:rsidR="00A36BA5" w:rsidRPr="008270BA" w:rsidRDefault="008270BA">
            <w:pPr>
              <w:pStyle w:val="TableParagraph"/>
              <w:spacing w:before="0" w:line="227" w:lineRule="exact"/>
              <w:ind w:left="967" w:right="944"/>
              <w:jc w:val="center"/>
              <w:rPr>
                <w:b/>
                <w:w w:val="90"/>
              </w:rPr>
            </w:pPr>
            <w:r w:rsidRPr="008270BA">
              <w:rPr>
                <w:b/>
                <w:w w:val="90"/>
              </w:rPr>
              <w:t>148</w:t>
            </w:r>
          </w:p>
        </w:tc>
      </w:tr>
    </w:tbl>
    <w:p w14:paraId="261BE0E9" w14:textId="77777777" w:rsidR="00A36BA5" w:rsidRPr="008270BA" w:rsidRDefault="00A36BA5">
      <w:pPr>
        <w:pStyle w:val="BodyText"/>
        <w:rPr>
          <w:w w:val="90"/>
          <w:sz w:val="20"/>
        </w:rPr>
      </w:pPr>
    </w:p>
    <w:p w14:paraId="169008D6" w14:textId="77777777" w:rsidR="00A36BA5" w:rsidRPr="008270BA" w:rsidRDefault="008270BA">
      <w:pPr>
        <w:pStyle w:val="BodyText"/>
        <w:spacing w:before="225" w:line="254" w:lineRule="auto"/>
        <w:ind w:left="380" w:right="459"/>
        <w:rPr>
          <w:w w:val="90"/>
        </w:rPr>
      </w:pPr>
      <w:r w:rsidRPr="008270BA">
        <w:rPr>
          <w:w w:val="90"/>
        </w:rPr>
        <w:t>En 2018, poco más del 10% de las PLWH (con base en la continuidad de atención del VIH modificada de PLWH en los últimos 5 años) en Filadelfia no sabían que tenían VIH. Esas personas que no eran conscientes de su estado representan el 39% de las nuevas transmisiones. Varios informes sugieren que se deben fortalecer los esfuerzos de prueba a nivel local. En junio de 2019, el CDC indicó que tan solo el 58% de los residentes de Filadelfia se habían hecho jamás una prueba de VIH, y solo el 21% se habían realizado la prueba en el último año</w:t>
      </w:r>
      <w:r w:rsidRPr="008270BA">
        <w:rPr>
          <w:w w:val="90"/>
          <w:sz w:val="16"/>
        </w:rPr>
        <w:t>23</w:t>
      </w:r>
      <w:r w:rsidRPr="008270BA">
        <w:rPr>
          <w:w w:val="90"/>
        </w:rPr>
        <w:t>. Los datos de Filadelfia del NHBS hallaron que la mayoría de los MSM, heterosexuales y PWID había recibido atención médica en los últimos doce meses, pero a muchos no se les ofreció una prueba de VIH o asesoramiento relativo a la PrEP</w:t>
      </w:r>
      <w:r w:rsidRPr="008270BA">
        <w:rPr>
          <w:w w:val="90"/>
          <w:sz w:val="16"/>
        </w:rPr>
        <w:t>19</w:t>
      </w:r>
      <w:r w:rsidRPr="008270BA">
        <w:rPr>
          <w:w w:val="90"/>
        </w:rPr>
        <w:t xml:space="preserve">. La frecuencia de pruebas de VIH y oportunidades perdidas se muestran en la </w:t>
      </w:r>
      <w:r w:rsidRPr="008270BA">
        <w:rPr>
          <w:i/>
          <w:w w:val="90"/>
        </w:rPr>
        <w:t>Tabla 3</w:t>
      </w:r>
      <w:r w:rsidRPr="008270BA">
        <w:rPr>
          <w:w w:val="90"/>
        </w:rPr>
        <w:t>.</w:t>
      </w:r>
    </w:p>
    <w:p w14:paraId="2EAFCA71" w14:textId="77777777" w:rsidR="00A36BA5" w:rsidRPr="008270BA" w:rsidRDefault="00A36BA5">
      <w:pPr>
        <w:pStyle w:val="BodyText"/>
        <w:spacing w:before="2"/>
        <w:rPr>
          <w:w w:val="90"/>
          <w:sz w:val="25"/>
        </w:rPr>
      </w:pPr>
    </w:p>
    <w:p w14:paraId="28F61C95" w14:textId="77777777" w:rsidR="00A36BA5" w:rsidRPr="008270BA" w:rsidRDefault="008270BA">
      <w:pPr>
        <w:pStyle w:val="BodyText"/>
        <w:spacing w:line="254" w:lineRule="auto"/>
        <w:ind w:left="380" w:right="586"/>
        <w:rPr>
          <w:w w:val="90"/>
        </w:rPr>
      </w:pPr>
      <w:r w:rsidRPr="008270BA">
        <w:rPr>
          <w:w w:val="90"/>
        </w:rPr>
        <w:t>El PDPH promoverá un mayor acceso y frecuencia de pruebas de VIH mediante la evaluación biosocial. El objetivo de la evaluación biosocial es brindar vías claras para que los clínicos en entornos de atención médica ofrezcan pruebas de VIH a sus pacientes. Los marcadores biológicos para la evaluación pueden incluir diagnósticos sospechados o confirmados de sífilis, gonorrea, clamidia, hepatitis C, hepatitis A, embarazo accidental, sobredosis o infección relacionada con la inyección. Los marcadores sociales para la evaluación incluyen personas en poblaciones con una mayor prevalencia de VIH, incluidos hombres gay, bisexuales y otros hombres que tienen sexo con hombres, sobre todo negros e hispanos/latinos, transgénero, o mujeres heterosexuales de color.</w:t>
      </w:r>
    </w:p>
    <w:p w14:paraId="04B33735" w14:textId="77777777" w:rsidR="00A36BA5" w:rsidRPr="008270BA" w:rsidRDefault="00A36BA5">
      <w:pPr>
        <w:pStyle w:val="BodyText"/>
        <w:spacing w:before="3"/>
        <w:rPr>
          <w:w w:val="90"/>
        </w:rPr>
      </w:pPr>
    </w:p>
    <w:p w14:paraId="6A598CC5" w14:textId="77777777" w:rsidR="00A36BA5" w:rsidRPr="008270BA" w:rsidRDefault="008270BA">
      <w:pPr>
        <w:pStyle w:val="BodyText"/>
        <w:spacing w:before="1" w:line="256" w:lineRule="auto"/>
        <w:ind w:left="380" w:right="460"/>
        <w:rPr>
          <w:w w:val="90"/>
        </w:rPr>
      </w:pPr>
      <w:r w:rsidRPr="008270BA">
        <w:rPr>
          <w:w w:val="90"/>
        </w:rPr>
        <w:t>Los esfuerzos de prueba actuales en entornos comunitarios no están atrayendo a poblaciones clave; solo el 24% de las pruebas se realizan a MSM (2019). A pesar de las iniciativas de pruebas de las que uno puede elegir excluirse en la última década, no se han implementado estas pruebas a modo de rutina en todo el sistema. El PDPH introdujo criterios de financiación actualizados para los proveedores de pruebas a nivel comunitario, para hacer énfasis y realinear las pruebas en poblaciones clave con base en las estimaciones de datos de salud pública.</w:t>
      </w:r>
    </w:p>
    <w:p w14:paraId="087A5B54" w14:textId="77777777" w:rsidR="00A36BA5" w:rsidRPr="008270BA" w:rsidRDefault="00A36BA5">
      <w:pPr>
        <w:spacing w:line="256" w:lineRule="auto"/>
        <w:rPr>
          <w:w w:val="90"/>
        </w:rPr>
        <w:sectPr w:rsidR="00A36BA5" w:rsidRPr="008270BA">
          <w:pgSz w:w="12240" w:h="15840"/>
          <w:pgMar w:top="1240" w:right="980" w:bottom="1240" w:left="1060" w:header="731" w:footer="917" w:gutter="0"/>
          <w:cols w:space="720"/>
        </w:sectPr>
      </w:pPr>
    </w:p>
    <w:p w14:paraId="590E5F5C" w14:textId="77777777" w:rsidR="00A36BA5" w:rsidRPr="008270BA" w:rsidRDefault="00A36BA5">
      <w:pPr>
        <w:pStyle w:val="BodyText"/>
        <w:rPr>
          <w:w w:val="90"/>
          <w:sz w:val="20"/>
        </w:rPr>
      </w:pPr>
    </w:p>
    <w:p w14:paraId="176D2EF5" w14:textId="77777777" w:rsidR="00A36BA5" w:rsidRPr="008270BA" w:rsidRDefault="00A36BA5">
      <w:pPr>
        <w:pStyle w:val="BodyText"/>
        <w:rPr>
          <w:w w:val="90"/>
          <w:sz w:val="20"/>
        </w:rPr>
      </w:pPr>
    </w:p>
    <w:p w14:paraId="52AF1B02" w14:textId="77777777" w:rsidR="00A36BA5" w:rsidRPr="008270BA" w:rsidRDefault="00A36BA5">
      <w:pPr>
        <w:pStyle w:val="BodyText"/>
        <w:spacing w:before="7"/>
        <w:rPr>
          <w:w w:val="90"/>
          <w:sz w:val="15"/>
        </w:rPr>
      </w:pPr>
    </w:p>
    <w:tbl>
      <w:tblPr>
        <w:tblStyle w:val="TableNormal1"/>
        <w:tblW w:w="0" w:type="auto"/>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0"/>
        <w:gridCol w:w="1280"/>
        <w:gridCol w:w="1300"/>
        <w:gridCol w:w="1300"/>
        <w:gridCol w:w="1280"/>
        <w:gridCol w:w="1280"/>
        <w:gridCol w:w="1493"/>
      </w:tblGrid>
      <w:tr w:rsidR="00A36BA5" w:rsidRPr="008270BA" w14:paraId="5D971733" w14:textId="77777777" w:rsidTr="00B2692E">
        <w:trPr>
          <w:trHeight w:val="580"/>
        </w:trPr>
        <w:tc>
          <w:tcPr>
            <w:tcW w:w="9533" w:type="dxa"/>
            <w:gridSpan w:val="7"/>
            <w:shd w:val="clear" w:color="auto" w:fill="001F5F"/>
          </w:tcPr>
          <w:p w14:paraId="22AC09CC" w14:textId="77777777" w:rsidR="00A36BA5" w:rsidRPr="008270BA" w:rsidRDefault="008270BA">
            <w:pPr>
              <w:pStyle w:val="TableParagraph"/>
              <w:spacing w:before="0" w:line="271" w:lineRule="exact"/>
              <w:ind w:left="542" w:right="499"/>
              <w:jc w:val="center"/>
              <w:rPr>
                <w:b/>
                <w:w w:val="90"/>
                <w:sz w:val="24"/>
              </w:rPr>
            </w:pPr>
            <w:r w:rsidRPr="008270BA">
              <w:rPr>
                <w:b/>
                <w:color w:val="FFFFFF"/>
                <w:w w:val="90"/>
                <w:sz w:val="24"/>
              </w:rPr>
              <w:t>Tabla 3: Pruebas de VIH y datos de atención médica entre poblaciones selectas de Filadelfia.</w:t>
            </w:r>
          </w:p>
          <w:p w14:paraId="3D00AA6E" w14:textId="77777777" w:rsidR="00A36BA5" w:rsidRPr="008270BA" w:rsidRDefault="008270BA">
            <w:pPr>
              <w:pStyle w:val="TableParagraph"/>
              <w:spacing w:before="24" w:line="265" w:lineRule="exact"/>
              <w:ind w:left="542" w:right="494"/>
              <w:jc w:val="center"/>
              <w:rPr>
                <w:b/>
                <w:w w:val="90"/>
                <w:sz w:val="24"/>
              </w:rPr>
            </w:pPr>
            <w:r w:rsidRPr="008270BA">
              <w:rPr>
                <w:b/>
                <w:color w:val="FFFFFF"/>
                <w:w w:val="90"/>
                <w:sz w:val="24"/>
              </w:rPr>
              <w:t>Vigilancia de Conducta de VIH Nacional (NHBS), 2017-2020</w:t>
            </w:r>
          </w:p>
        </w:tc>
      </w:tr>
      <w:tr w:rsidR="00A36BA5" w:rsidRPr="008270BA" w14:paraId="54747158" w14:textId="77777777" w:rsidTr="00B2692E">
        <w:trPr>
          <w:trHeight w:val="3180"/>
        </w:trPr>
        <w:tc>
          <w:tcPr>
            <w:tcW w:w="1600" w:type="dxa"/>
            <w:shd w:val="clear" w:color="auto" w:fill="D9D9D9"/>
          </w:tcPr>
          <w:p w14:paraId="0861E62F" w14:textId="77777777" w:rsidR="00A36BA5" w:rsidRPr="00B2692E" w:rsidRDefault="00A36BA5">
            <w:pPr>
              <w:pStyle w:val="TableParagraph"/>
              <w:spacing w:before="0"/>
              <w:rPr>
                <w:w w:val="90"/>
                <w:sz w:val="18"/>
                <w:szCs w:val="18"/>
              </w:rPr>
            </w:pPr>
          </w:p>
          <w:p w14:paraId="2EC846B5" w14:textId="77777777" w:rsidR="00A36BA5" w:rsidRPr="00B2692E" w:rsidRDefault="00A36BA5">
            <w:pPr>
              <w:pStyle w:val="TableParagraph"/>
              <w:spacing w:before="1"/>
              <w:rPr>
                <w:w w:val="90"/>
                <w:sz w:val="18"/>
                <w:szCs w:val="18"/>
              </w:rPr>
            </w:pPr>
          </w:p>
          <w:p w14:paraId="544D58FB" w14:textId="77777777" w:rsidR="00A36BA5" w:rsidRPr="00B2692E" w:rsidRDefault="008270BA" w:rsidP="00B2692E">
            <w:pPr>
              <w:pStyle w:val="TableParagraph"/>
              <w:spacing w:before="1"/>
              <w:ind w:left="177" w:right="289"/>
              <w:jc w:val="center"/>
              <w:rPr>
                <w:b/>
                <w:w w:val="90"/>
                <w:sz w:val="18"/>
                <w:szCs w:val="18"/>
              </w:rPr>
            </w:pPr>
            <w:r w:rsidRPr="00B2692E">
              <w:rPr>
                <w:b/>
                <w:w w:val="90"/>
                <w:sz w:val="18"/>
                <w:szCs w:val="18"/>
              </w:rPr>
              <w:t>Población</w:t>
            </w:r>
          </w:p>
          <w:p w14:paraId="365B7D1C" w14:textId="77777777" w:rsidR="00A36BA5" w:rsidRPr="00B2692E" w:rsidRDefault="008270BA" w:rsidP="00B2692E">
            <w:pPr>
              <w:pStyle w:val="TableParagraph"/>
              <w:spacing w:before="4" w:line="256" w:lineRule="auto"/>
              <w:ind w:left="177" w:right="289" w:firstLine="1"/>
              <w:jc w:val="center"/>
              <w:rPr>
                <w:b/>
                <w:w w:val="90"/>
                <w:sz w:val="18"/>
                <w:szCs w:val="18"/>
              </w:rPr>
            </w:pPr>
            <w:r w:rsidRPr="00B2692E">
              <w:rPr>
                <w:b/>
                <w:w w:val="90"/>
                <w:sz w:val="18"/>
                <w:szCs w:val="18"/>
              </w:rPr>
              <w:t>de NHBS (número de encuestados de Filadelfia, y año)</w:t>
            </w:r>
          </w:p>
        </w:tc>
        <w:tc>
          <w:tcPr>
            <w:tcW w:w="1280" w:type="dxa"/>
            <w:shd w:val="clear" w:color="auto" w:fill="D9D9D9"/>
          </w:tcPr>
          <w:p w14:paraId="6EDB7289" w14:textId="77777777" w:rsidR="00A36BA5" w:rsidRPr="00B2692E" w:rsidRDefault="00A36BA5">
            <w:pPr>
              <w:pStyle w:val="TableParagraph"/>
              <w:spacing w:before="0"/>
              <w:rPr>
                <w:w w:val="90"/>
                <w:sz w:val="18"/>
                <w:szCs w:val="18"/>
              </w:rPr>
            </w:pPr>
          </w:p>
          <w:p w14:paraId="73C5EA07" w14:textId="77777777" w:rsidR="00A36BA5" w:rsidRPr="00B2692E" w:rsidRDefault="008270BA">
            <w:pPr>
              <w:pStyle w:val="TableParagraph"/>
              <w:spacing w:before="233" w:line="254" w:lineRule="auto"/>
              <w:ind w:left="124" w:right="88" w:hanging="2"/>
              <w:jc w:val="center"/>
              <w:rPr>
                <w:b/>
                <w:w w:val="90"/>
                <w:sz w:val="18"/>
                <w:szCs w:val="18"/>
              </w:rPr>
            </w:pPr>
            <w:r w:rsidRPr="00B2692E">
              <w:rPr>
                <w:b/>
                <w:w w:val="90"/>
                <w:sz w:val="18"/>
                <w:szCs w:val="18"/>
              </w:rPr>
              <w:t>Porcentaje que se realizó la prueba de VIH en los últimos 2 años (entre personas que son VIH negativo o que lo desconocen)</w:t>
            </w:r>
          </w:p>
        </w:tc>
        <w:tc>
          <w:tcPr>
            <w:tcW w:w="1300" w:type="dxa"/>
            <w:shd w:val="clear" w:color="auto" w:fill="D9D9D9"/>
          </w:tcPr>
          <w:p w14:paraId="0AAFFCEA" w14:textId="77777777" w:rsidR="00A36BA5" w:rsidRPr="00B2692E" w:rsidRDefault="00A36BA5">
            <w:pPr>
              <w:pStyle w:val="TableParagraph"/>
              <w:spacing w:before="0"/>
              <w:rPr>
                <w:w w:val="90"/>
                <w:sz w:val="18"/>
                <w:szCs w:val="18"/>
              </w:rPr>
            </w:pPr>
          </w:p>
          <w:p w14:paraId="1C8665EA" w14:textId="77777777" w:rsidR="00A36BA5" w:rsidRPr="00B2692E" w:rsidRDefault="008270BA">
            <w:pPr>
              <w:pStyle w:val="TableParagraph"/>
              <w:spacing w:before="233" w:line="254" w:lineRule="auto"/>
              <w:ind w:left="141" w:right="91" w:hanging="2"/>
              <w:jc w:val="center"/>
              <w:rPr>
                <w:b/>
                <w:w w:val="90"/>
                <w:sz w:val="18"/>
                <w:szCs w:val="18"/>
              </w:rPr>
            </w:pPr>
            <w:r w:rsidRPr="00B2692E">
              <w:rPr>
                <w:b/>
                <w:w w:val="90"/>
                <w:sz w:val="18"/>
                <w:szCs w:val="18"/>
              </w:rPr>
              <w:t>Porcentaje que se realizó la prueba de VIH en los últimos 12 meses (entre personas que son VIH negativo o que lo desconocen)</w:t>
            </w:r>
          </w:p>
        </w:tc>
        <w:tc>
          <w:tcPr>
            <w:tcW w:w="1300" w:type="dxa"/>
            <w:shd w:val="clear" w:color="auto" w:fill="D9D9D9"/>
          </w:tcPr>
          <w:p w14:paraId="6B0091BB" w14:textId="77777777" w:rsidR="00A36BA5" w:rsidRPr="00B2692E" w:rsidRDefault="00A36BA5">
            <w:pPr>
              <w:pStyle w:val="TableParagraph"/>
              <w:spacing w:before="0"/>
              <w:rPr>
                <w:w w:val="90"/>
                <w:sz w:val="18"/>
                <w:szCs w:val="18"/>
              </w:rPr>
            </w:pPr>
          </w:p>
          <w:p w14:paraId="0FE396F7" w14:textId="77777777" w:rsidR="00A36BA5" w:rsidRPr="00B2692E" w:rsidRDefault="008270BA">
            <w:pPr>
              <w:pStyle w:val="TableParagraph"/>
              <w:spacing w:before="233" w:line="254" w:lineRule="auto"/>
              <w:ind w:left="142" w:right="90" w:hanging="2"/>
              <w:jc w:val="center"/>
              <w:rPr>
                <w:b/>
                <w:w w:val="90"/>
                <w:sz w:val="18"/>
                <w:szCs w:val="18"/>
              </w:rPr>
            </w:pPr>
            <w:r w:rsidRPr="00B2692E">
              <w:rPr>
                <w:b/>
                <w:w w:val="90"/>
                <w:sz w:val="18"/>
                <w:szCs w:val="18"/>
              </w:rPr>
              <w:t>Porcentaje que se realizó la prueba de VIH en los últimos 3 meses (entre personas que son VIH negativo o que lo desconocen)</w:t>
            </w:r>
          </w:p>
        </w:tc>
        <w:tc>
          <w:tcPr>
            <w:tcW w:w="1280" w:type="dxa"/>
            <w:shd w:val="clear" w:color="auto" w:fill="D9D9D9"/>
          </w:tcPr>
          <w:p w14:paraId="29234817" w14:textId="77777777" w:rsidR="00A36BA5" w:rsidRPr="00B2692E" w:rsidRDefault="00A36BA5">
            <w:pPr>
              <w:pStyle w:val="TableParagraph"/>
              <w:spacing w:before="0"/>
              <w:rPr>
                <w:w w:val="90"/>
                <w:sz w:val="18"/>
                <w:szCs w:val="18"/>
              </w:rPr>
            </w:pPr>
          </w:p>
          <w:p w14:paraId="49916356" w14:textId="77777777" w:rsidR="00A36BA5" w:rsidRPr="00B2692E" w:rsidRDefault="00A36BA5">
            <w:pPr>
              <w:pStyle w:val="TableParagraph"/>
              <w:spacing w:before="1"/>
              <w:rPr>
                <w:w w:val="90"/>
                <w:sz w:val="18"/>
                <w:szCs w:val="18"/>
              </w:rPr>
            </w:pPr>
          </w:p>
          <w:p w14:paraId="699CB0EF" w14:textId="77777777" w:rsidR="00A36BA5" w:rsidRPr="00B2692E" w:rsidRDefault="008270BA">
            <w:pPr>
              <w:pStyle w:val="TableParagraph"/>
              <w:spacing w:before="1" w:line="254" w:lineRule="auto"/>
              <w:ind w:left="223" w:right="145"/>
              <w:jc w:val="center"/>
              <w:rPr>
                <w:b/>
                <w:w w:val="90"/>
                <w:sz w:val="18"/>
                <w:szCs w:val="18"/>
              </w:rPr>
            </w:pPr>
            <w:r w:rsidRPr="00B2692E">
              <w:rPr>
                <w:b/>
                <w:w w:val="90"/>
                <w:sz w:val="18"/>
                <w:szCs w:val="18"/>
              </w:rPr>
              <w:t>Porcentaje que tuvo una consulta médica en los últimos 12 meses</w:t>
            </w:r>
          </w:p>
        </w:tc>
        <w:tc>
          <w:tcPr>
            <w:tcW w:w="1280" w:type="dxa"/>
            <w:shd w:val="clear" w:color="auto" w:fill="D9D9D9"/>
          </w:tcPr>
          <w:p w14:paraId="3B3CA0BC" w14:textId="77777777" w:rsidR="00A36BA5" w:rsidRPr="00B2692E" w:rsidRDefault="008270BA">
            <w:pPr>
              <w:pStyle w:val="TableParagraph"/>
              <w:spacing w:before="115" w:line="254" w:lineRule="auto"/>
              <w:ind w:left="130" w:right="88" w:hanging="2"/>
              <w:jc w:val="center"/>
              <w:rPr>
                <w:b/>
                <w:w w:val="90"/>
                <w:sz w:val="18"/>
                <w:szCs w:val="18"/>
              </w:rPr>
            </w:pPr>
            <w:r w:rsidRPr="00B2692E">
              <w:rPr>
                <w:b/>
                <w:w w:val="90"/>
                <w:sz w:val="18"/>
                <w:szCs w:val="18"/>
              </w:rPr>
              <w:t>Porcentaje al que se le ofreció una prueba de VIH, entre personas con una consulta médica en los últimos 12 meses</w:t>
            </w:r>
          </w:p>
        </w:tc>
        <w:tc>
          <w:tcPr>
            <w:tcW w:w="1493" w:type="dxa"/>
            <w:shd w:val="clear" w:color="auto" w:fill="D9D9D9"/>
          </w:tcPr>
          <w:p w14:paraId="1FEF12F5" w14:textId="77777777" w:rsidR="00A36BA5" w:rsidRPr="00B2692E" w:rsidRDefault="008270BA">
            <w:pPr>
              <w:pStyle w:val="TableParagraph"/>
              <w:spacing w:before="115" w:line="261" w:lineRule="auto"/>
              <w:ind w:left="285" w:right="225"/>
              <w:jc w:val="center"/>
              <w:rPr>
                <w:b/>
                <w:w w:val="90"/>
                <w:sz w:val="18"/>
                <w:szCs w:val="18"/>
              </w:rPr>
            </w:pPr>
            <w:r w:rsidRPr="00B2692E">
              <w:rPr>
                <w:b/>
                <w:w w:val="90"/>
                <w:sz w:val="18"/>
                <w:szCs w:val="18"/>
              </w:rPr>
              <w:t>Porcentaje</w:t>
            </w:r>
          </w:p>
          <w:p w14:paraId="31B6FF7F" w14:textId="77777777" w:rsidR="00A36BA5" w:rsidRPr="00B2692E" w:rsidRDefault="008270BA">
            <w:pPr>
              <w:pStyle w:val="TableParagraph"/>
              <w:spacing w:before="0" w:line="254" w:lineRule="auto"/>
              <w:ind w:left="150" w:right="88" w:hanging="1"/>
              <w:jc w:val="center"/>
              <w:rPr>
                <w:b/>
                <w:w w:val="90"/>
                <w:sz w:val="18"/>
                <w:szCs w:val="18"/>
              </w:rPr>
            </w:pPr>
            <w:r w:rsidRPr="00B2692E">
              <w:rPr>
                <w:b/>
                <w:w w:val="90"/>
                <w:sz w:val="18"/>
                <w:szCs w:val="18"/>
              </w:rPr>
              <w:t>que tuvo una charla sobre PrEP con personas con una consulta médica en los últimos 12 meses</w:t>
            </w:r>
          </w:p>
        </w:tc>
      </w:tr>
      <w:tr w:rsidR="00A36BA5" w:rsidRPr="008270BA" w14:paraId="4DA1FE7D" w14:textId="77777777" w:rsidTr="00B2692E">
        <w:trPr>
          <w:trHeight w:val="1440"/>
        </w:trPr>
        <w:tc>
          <w:tcPr>
            <w:tcW w:w="1600" w:type="dxa"/>
          </w:tcPr>
          <w:p w14:paraId="122D1E61" w14:textId="77777777" w:rsidR="00A36BA5" w:rsidRPr="008270BA" w:rsidRDefault="008270BA" w:rsidP="00B2692E">
            <w:pPr>
              <w:pStyle w:val="TableParagraph"/>
              <w:spacing w:before="0" w:line="252" w:lineRule="auto"/>
              <w:ind w:left="117" w:right="89"/>
              <w:rPr>
                <w:w w:val="90"/>
                <w:sz w:val="24"/>
              </w:rPr>
            </w:pPr>
            <w:r w:rsidRPr="008270BA">
              <w:rPr>
                <w:w w:val="90"/>
                <w:sz w:val="24"/>
              </w:rPr>
              <w:t>Hombres que tienen sexo con hombres</w:t>
            </w:r>
          </w:p>
          <w:p w14:paraId="67F327CF" w14:textId="77777777" w:rsidR="00A36BA5" w:rsidRPr="008270BA" w:rsidRDefault="008270BA" w:rsidP="00B2692E">
            <w:pPr>
              <w:pStyle w:val="TableParagraph"/>
              <w:spacing w:before="19" w:line="225" w:lineRule="auto"/>
              <w:ind w:left="117" w:right="89"/>
              <w:rPr>
                <w:w w:val="90"/>
                <w:sz w:val="24"/>
              </w:rPr>
            </w:pPr>
            <w:r w:rsidRPr="008270BA">
              <w:rPr>
                <w:w w:val="90"/>
                <w:sz w:val="24"/>
              </w:rPr>
              <w:t>(n=575 en 2017)</w:t>
            </w:r>
          </w:p>
        </w:tc>
        <w:tc>
          <w:tcPr>
            <w:tcW w:w="1280" w:type="dxa"/>
          </w:tcPr>
          <w:p w14:paraId="764B0F5B" w14:textId="77777777" w:rsidR="00A36BA5" w:rsidRPr="008270BA" w:rsidRDefault="00A36BA5">
            <w:pPr>
              <w:pStyle w:val="TableParagraph"/>
              <w:spacing w:before="0"/>
              <w:rPr>
                <w:w w:val="90"/>
                <w:sz w:val="28"/>
              </w:rPr>
            </w:pPr>
          </w:p>
          <w:p w14:paraId="38990A20" w14:textId="77777777" w:rsidR="00A36BA5" w:rsidRPr="008270BA" w:rsidRDefault="00A36BA5">
            <w:pPr>
              <w:pStyle w:val="TableParagraph"/>
              <w:spacing w:before="11"/>
              <w:rPr>
                <w:w w:val="90"/>
                <w:sz w:val="21"/>
              </w:rPr>
            </w:pPr>
          </w:p>
          <w:p w14:paraId="62262F09" w14:textId="77777777" w:rsidR="00A36BA5" w:rsidRPr="008270BA" w:rsidRDefault="008270BA">
            <w:pPr>
              <w:pStyle w:val="TableParagraph"/>
              <w:spacing w:before="0"/>
              <w:ind w:left="172" w:right="145"/>
              <w:jc w:val="center"/>
              <w:rPr>
                <w:w w:val="90"/>
                <w:sz w:val="24"/>
              </w:rPr>
            </w:pPr>
            <w:r w:rsidRPr="008270BA">
              <w:rPr>
                <w:w w:val="90"/>
                <w:sz w:val="24"/>
              </w:rPr>
              <w:t>93,8%</w:t>
            </w:r>
          </w:p>
        </w:tc>
        <w:tc>
          <w:tcPr>
            <w:tcW w:w="1300" w:type="dxa"/>
          </w:tcPr>
          <w:p w14:paraId="6DE75C0F" w14:textId="77777777" w:rsidR="00A36BA5" w:rsidRPr="008270BA" w:rsidRDefault="00A36BA5">
            <w:pPr>
              <w:pStyle w:val="TableParagraph"/>
              <w:spacing w:before="0"/>
              <w:rPr>
                <w:w w:val="90"/>
                <w:sz w:val="28"/>
              </w:rPr>
            </w:pPr>
          </w:p>
          <w:p w14:paraId="5FC3ABF3" w14:textId="77777777" w:rsidR="00A36BA5" w:rsidRPr="008270BA" w:rsidRDefault="00A36BA5">
            <w:pPr>
              <w:pStyle w:val="TableParagraph"/>
              <w:spacing w:before="11"/>
              <w:rPr>
                <w:w w:val="90"/>
                <w:sz w:val="21"/>
              </w:rPr>
            </w:pPr>
          </w:p>
          <w:p w14:paraId="70A876E5" w14:textId="77777777" w:rsidR="00A36BA5" w:rsidRPr="008270BA" w:rsidRDefault="008270BA">
            <w:pPr>
              <w:pStyle w:val="TableParagraph"/>
              <w:spacing w:before="0"/>
              <w:ind w:right="314"/>
              <w:jc w:val="right"/>
              <w:rPr>
                <w:w w:val="90"/>
                <w:sz w:val="24"/>
              </w:rPr>
            </w:pPr>
            <w:r w:rsidRPr="008270BA">
              <w:rPr>
                <w:w w:val="90"/>
                <w:sz w:val="24"/>
              </w:rPr>
              <w:t>77,2%</w:t>
            </w:r>
          </w:p>
        </w:tc>
        <w:tc>
          <w:tcPr>
            <w:tcW w:w="1300" w:type="dxa"/>
          </w:tcPr>
          <w:p w14:paraId="09E6256F" w14:textId="77777777" w:rsidR="00A36BA5" w:rsidRPr="008270BA" w:rsidRDefault="00A36BA5">
            <w:pPr>
              <w:pStyle w:val="TableParagraph"/>
              <w:spacing w:before="0"/>
              <w:rPr>
                <w:w w:val="90"/>
                <w:sz w:val="28"/>
              </w:rPr>
            </w:pPr>
          </w:p>
          <w:p w14:paraId="5D36B8B6" w14:textId="77777777" w:rsidR="00A36BA5" w:rsidRPr="008270BA" w:rsidRDefault="00A36BA5">
            <w:pPr>
              <w:pStyle w:val="TableParagraph"/>
              <w:spacing w:before="11"/>
              <w:rPr>
                <w:w w:val="90"/>
                <w:sz w:val="21"/>
              </w:rPr>
            </w:pPr>
          </w:p>
          <w:p w14:paraId="17591076" w14:textId="77777777" w:rsidR="00A36BA5" w:rsidRPr="008270BA" w:rsidRDefault="008270BA">
            <w:pPr>
              <w:pStyle w:val="TableParagraph"/>
              <w:spacing w:before="0"/>
              <w:ind w:left="276" w:right="225"/>
              <w:jc w:val="center"/>
              <w:rPr>
                <w:w w:val="90"/>
                <w:sz w:val="24"/>
              </w:rPr>
            </w:pPr>
            <w:r w:rsidRPr="008270BA">
              <w:rPr>
                <w:w w:val="90"/>
                <w:sz w:val="24"/>
              </w:rPr>
              <w:t>32,0%</w:t>
            </w:r>
          </w:p>
        </w:tc>
        <w:tc>
          <w:tcPr>
            <w:tcW w:w="1280" w:type="dxa"/>
          </w:tcPr>
          <w:p w14:paraId="4ED93963" w14:textId="77777777" w:rsidR="00A36BA5" w:rsidRPr="008270BA" w:rsidRDefault="00A36BA5">
            <w:pPr>
              <w:pStyle w:val="TableParagraph"/>
              <w:spacing w:before="0"/>
              <w:rPr>
                <w:w w:val="90"/>
                <w:sz w:val="28"/>
              </w:rPr>
            </w:pPr>
          </w:p>
          <w:p w14:paraId="7E7B5F7B" w14:textId="77777777" w:rsidR="00A36BA5" w:rsidRPr="008270BA" w:rsidRDefault="00A36BA5">
            <w:pPr>
              <w:pStyle w:val="TableParagraph"/>
              <w:spacing w:before="11"/>
              <w:rPr>
                <w:w w:val="90"/>
                <w:sz w:val="21"/>
              </w:rPr>
            </w:pPr>
          </w:p>
          <w:p w14:paraId="5E0AEDB0" w14:textId="77777777" w:rsidR="00A36BA5" w:rsidRPr="008270BA" w:rsidRDefault="008270BA">
            <w:pPr>
              <w:pStyle w:val="TableParagraph"/>
              <w:spacing w:before="0"/>
              <w:ind w:left="367"/>
              <w:rPr>
                <w:w w:val="90"/>
                <w:sz w:val="24"/>
              </w:rPr>
            </w:pPr>
            <w:r w:rsidRPr="008270BA">
              <w:rPr>
                <w:w w:val="90"/>
                <w:sz w:val="24"/>
              </w:rPr>
              <w:t>83,0%</w:t>
            </w:r>
          </w:p>
        </w:tc>
        <w:tc>
          <w:tcPr>
            <w:tcW w:w="1280" w:type="dxa"/>
          </w:tcPr>
          <w:p w14:paraId="644D6A74" w14:textId="77777777" w:rsidR="00A36BA5" w:rsidRPr="008270BA" w:rsidRDefault="00A36BA5">
            <w:pPr>
              <w:pStyle w:val="TableParagraph"/>
              <w:spacing w:before="0"/>
              <w:rPr>
                <w:w w:val="90"/>
                <w:sz w:val="28"/>
              </w:rPr>
            </w:pPr>
          </w:p>
          <w:p w14:paraId="08F9C51A" w14:textId="77777777" w:rsidR="00A36BA5" w:rsidRPr="008270BA" w:rsidRDefault="00A36BA5">
            <w:pPr>
              <w:pStyle w:val="TableParagraph"/>
              <w:spacing w:before="11"/>
              <w:rPr>
                <w:w w:val="90"/>
                <w:sz w:val="21"/>
              </w:rPr>
            </w:pPr>
          </w:p>
          <w:p w14:paraId="710B2B91" w14:textId="77777777" w:rsidR="00A36BA5" w:rsidRPr="008270BA" w:rsidRDefault="008270BA">
            <w:pPr>
              <w:pStyle w:val="TableParagraph"/>
              <w:spacing w:before="0"/>
              <w:ind w:left="348"/>
              <w:rPr>
                <w:w w:val="90"/>
                <w:sz w:val="24"/>
              </w:rPr>
            </w:pPr>
            <w:r w:rsidRPr="008270BA">
              <w:rPr>
                <w:w w:val="90"/>
                <w:sz w:val="24"/>
              </w:rPr>
              <w:t>60,0%</w:t>
            </w:r>
          </w:p>
        </w:tc>
        <w:tc>
          <w:tcPr>
            <w:tcW w:w="1493" w:type="dxa"/>
          </w:tcPr>
          <w:p w14:paraId="5493518F" w14:textId="77777777" w:rsidR="00A36BA5" w:rsidRPr="008270BA" w:rsidRDefault="00A36BA5">
            <w:pPr>
              <w:pStyle w:val="TableParagraph"/>
              <w:spacing w:before="0"/>
              <w:rPr>
                <w:w w:val="90"/>
                <w:sz w:val="28"/>
              </w:rPr>
            </w:pPr>
          </w:p>
          <w:p w14:paraId="32ACCCC4" w14:textId="77777777" w:rsidR="00A36BA5" w:rsidRPr="008270BA" w:rsidRDefault="00A36BA5">
            <w:pPr>
              <w:pStyle w:val="TableParagraph"/>
              <w:spacing w:before="11"/>
              <w:rPr>
                <w:w w:val="90"/>
                <w:sz w:val="21"/>
              </w:rPr>
            </w:pPr>
          </w:p>
          <w:p w14:paraId="2A3851AC" w14:textId="77777777" w:rsidR="00A36BA5" w:rsidRPr="008270BA" w:rsidRDefault="008270BA">
            <w:pPr>
              <w:pStyle w:val="TableParagraph"/>
              <w:spacing w:before="0"/>
              <w:ind w:right="311"/>
              <w:jc w:val="right"/>
              <w:rPr>
                <w:w w:val="90"/>
                <w:sz w:val="24"/>
              </w:rPr>
            </w:pPr>
            <w:r w:rsidRPr="008270BA">
              <w:rPr>
                <w:w w:val="90"/>
                <w:sz w:val="24"/>
              </w:rPr>
              <w:t>38,9%</w:t>
            </w:r>
          </w:p>
        </w:tc>
      </w:tr>
      <w:tr w:rsidR="00A36BA5" w:rsidRPr="008270BA" w14:paraId="27AC5020" w14:textId="77777777" w:rsidTr="00B2692E">
        <w:trPr>
          <w:trHeight w:val="1180"/>
        </w:trPr>
        <w:tc>
          <w:tcPr>
            <w:tcW w:w="1600" w:type="dxa"/>
          </w:tcPr>
          <w:p w14:paraId="5AACD46E" w14:textId="77777777" w:rsidR="00A36BA5" w:rsidRPr="008270BA" w:rsidRDefault="008270BA" w:rsidP="00B2692E">
            <w:pPr>
              <w:pStyle w:val="TableParagraph"/>
              <w:spacing w:before="15" w:line="252" w:lineRule="auto"/>
              <w:ind w:left="117" w:right="89"/>
              <w:jc w:val="both"/>
              <w:rPr>
                <w:w w:val="90"/>
                <w:sz w:val="24"/>
              </w:rPr>
            </w:pPr>
            <w:r w:rsidRPr="008270BA">
              <w:rPr>
                <w:w w:val="90"/>
                <w:sz w:val="24"/>
              </w:rPr>
              <w:t>Personas que se inyectan drogas (n=621 en</w:t>
            </w:r>
          </w:p>
          <w:p w14:paraId="335E63B1" w14:textId="77777777" w:rsidR="00A36BA5" w:rsidRPr="008270BA" w:rsidRDefault="008270BA" w:rsidP="00B2692E">
            <w:pPr>
              <w:pStyle w:val="TableParagraph"/>
              <w:spacing w:before="0" w:line="267" w:lineRule="exact"/>
              <w:ind w:left="117" w:right="89"/>
              <w:rPr>
                <w:w w:val="90"/>
                <w:sz w:val="24"/>
              </w:rPr>
            </w:pPr>
            <w:r w:rsidRPr="008270BA">
              <w:rPr>
                <w:w w:val="90"/>
                <w:sz w:val="24"/>
              </w:rPr>
              <w:t>2018)</w:t>
            </w:r>
          </w:p>
        </w:tc>
        <w:tc>
          <w:tcPr>
            <w:tcW w:w="1280" w:type="dxa"/>
          </w:tcPr>
          <w:p w14:paraId="47234E13" w14:textId="77777777" w:rsidR="00A36BA5" w:rsidRPr="008270BA" w:rsidRDefault="00A36BA5">
            <w:pPr>
              <w:pStyle w:val="TableParagraph"/>
              <w:spacing w:before="6"/>
              <w:rPr>
                <w:w w:val="90"/>
                <w:sz w:val="39"/>
              </w:rPr>
            </w:pPr>
          </w:p>
          <w:p w14:paraId="30770166" w14:textId="77777777" w:rsidR="00A36BA5" w:rsidRPr="008270BA" w:rsidRDefault="008270BA">
            <w:pPr>
              <w:pStyle w:val="TableParagraph"/>
              <w:spacing w:before="0"/>
              <w:ind w:left="172" w:right="145"/>
              <w:jc w:val="center"/>
              <w:rPr>
                <w:w w:val="90"/>
                <w:sz w:val="24"/>
              </w:rPr>
            </w:pPr>
            <w:r w:rsidRPr="008270BA">
              <w:rPr>
                <w:w w:val="90"/>
                <w:sz w:val="24"/>
              </w:rPr>
              <w:t>88,7%</w:t>
            </w:r>
          </w:p>
        </w:tc>
        <w:tc>
          <w:tcPr>
            <w:tcW w:w="1300" w:type="dxa"/>
          </w:tcPr>
          <w:p w14:paraId="607D7F5E" w14:textId="77777777" w:rsidR="00A36BA5" w:rsidRPr="008270BA" w:rsidRDefault="00A36BA5">
            <w:pPr>
              <w:pStyle w:val="TableParagraph"/>
              <w:spacing w:before="6"/>
              <w:rPr>
                <w:w w:val="90"/>
                <w:sz w:val="39"/>
              </w:rPr>
            </w:pPr>
          </w:p>
          <w:p w14:paraId="498C26C5" w14:textId="77777777" w:rsidR="00A36BA5" w:rsidRPr="008270BA" w:rsidRDefault="008270BA">
            <w:pPr>
              <w:pStyle w:val="TableParagraph"/>
              <w:spacing w:before="0"/>
              <w:ind w:right="314"/>
              <w:jc w:val="right"/>
              <w:rPr>
                <w:w w:val="90"/>
                <w:sz w:val="24"/>
              </w:rPr>
            </w:pPr>
            <w:r w:rsidRPr="008270BA">
              <w:rPr>
                <w:w w:val="90"/>
                <w:sz w:val="24"/>
              </w:rPr>
              <w:t>68,8%</w:t>
            </w:r>
          </w:p>
        </w:tc>
        <w:tc>
          <w:tcPr>
            <w:tcW w:w="1300" w:type="dxa"/>
          </w:tcPr>
          <w:p w14:paraId="20B82371" w14:textId="77777777" w:rsidR="00A36BA5" w:rsidRPr="008270BA" w:rsidRDefault="00A36BA5">
            <w:pPr>
              <w:pStyle w:val="TableParagraph"/>
              <w:spacing w:before="6"/>
              <w:rPr>
                <w:w w:val="90"/>
                <w:sz w:val="39"/>
              </w:rPr>
            </w:pPr>
          </w:p>
          <w:p w14:paraId="533471A7" w14:textId="77777777" w:rsidR="00A36BA5" w:rsidRPr="008270BA" w:rsidRDefault="008270BA">
            <w:pPr>
              <w:pStyle w:val="TableParagraph"/>
              <w:spacing w:before="0"/>
              <w:ind w:left="276" w:right="225"/>
              <w:jc w:val="center"/>
              <w:rPr>
                <w:w w:val="90"/>
                <w:sz w:val="24"/>
              </w:rPr>
            </w:pPr>
            <w:r w:rsidRPr="008270BA">
              <w:rPr>
                <w:w w:val="90"/>
                <w:sz w:val="24"/>
              </w:rPr>
              <w:t>28,5%</w:t>
            </w:r>
          </w:p>
        </w:tc>
        <w:tc>
          <w:tcPr>
            <w:tcW w:w="1280" w:type="dxa"/>
          </w:tcPr>
          <w:p w14:paraId="1DF8F813" w14:textId="77777777" w:rsidR="00A36BA5" w:rsidRPr="008270BA" w:rsidRDefault="00A36BA5">
            <w:pPr>
              <w:pStyle w:val="TableParagraph"/>
              <w:spacing w:before="6"/>
              <w:rPr>
                <w:w w:val="90"/>
                <w:sz w:val="39"/>
              </w:rPr>
            </w:pPr>
          </w:p>
          <w:p w14:paraId="7351B3A9" w14:textId="77777777" w:rsidR="00A36BA5" w:rsidRPr="008270BA" w:rsidRDefault="008270BA">
            <w:pPr>
              <w:pStyle w:val="TableParagraph"/>
              <w:spacing w:before="0"/>
              <w:ind w:left="367"/>
              <w:rPr>
                <w:w w:val="90"/>
                <w:sz w:val="24"/>
              </w:rPr>
            </w:pPr>
            <w:r w:rsidRPr="008270BA">
              <w:rPr>
                <w:w w:val="90"/>
                <w:sz w:val="24"/>
              </w:rPr>
              <w:t>82,0%</w:t>
            </w:r>
          </w:p>
        </w:tc>
        <w:tc>
          <w:tcPr>
            <w:tcW w:w="1280" w:type="dxa"/>
          </w:tcPr>
          <w:p w14:paraId="20665488" w14:textId="77777777" w:rsidR="00A36BA5" w:rsidRPr="008270BA" w:rsidRDefault="00A36BA5">
            <w:pPr>
              <w:pStyle w:val="TableParagraph"/>
              <w:spacing w:before="6"/>
              <w:rPr>
                <w:w w:val="90"/>
                <w:sz w:val="39"/>
              </w:rPr>
            </w:pPr>
          </w:p>
          <w:p w14:paraId="10C59BE2" w14:textId="77777777" w:rsidR="00A36BA5" w:rsidRPr="008270BA" w:rsidRDefault="008270BA">
            <w:pPr>
              <w:pStyle w:val="TableParagraph"/>
              <w:spacing w:before="0"/>
              <w:ind w:left="348"/>
              <w:rPr>
                <w:w w:val="90"/>
                <w:sz w:val="24"/>
              </w:rPr>
            </w:pPr>
            <w:r w:rsidRPr="008270BA">
              <w:rPr>
                <w:w w:val="90"/>
                <w:sz w:val="24"/>
              </w:rPr>
              <w:t>61,8%</w:t>
            </w:r>
          </w:p>
        </w:tc>
        <w:tc>
          <w:tcPr>
            <w:tcW w:w="1493" w:type="dxa"/>
          </w:tcPr>
          <w:p w14:paraId="07F9E29B" w14:textId="77777777" w:rsidR="00A36BA5" w:rsidRPr="008270BA" w:rsidRDefault="00A36BA5">
            <w:pPr>
              <w:pStyle w:val="TableParagraph"/>
              <w:spacing w:before="6"/>
              <w:rPr>
                <w:w w:val="90"/>
                <w:sz w:val="39"/>
              </w:rPr>
            </w:pPr>
          </w:p>
          <w:p w14:paraId="1876FBF3" w14:textId="77777777" w:rsidR="00A36BA5" w:rsidRPr="008270BA" w:rsidRDefault="008270BA">
            <w:pPr>
              <w:pStyle w:val="TableParagraph"/>
              <w:spacing w:before="0"/>
              <w:ind w:right="311"/>
              <w:jc w:val="right"/>
              <w:rPr>
                <w:w w:val="90"/>
                <w:sz w:val="24"/>
              </w:rPr>
            </w:pPr>
            <w:r w:rsidRPr="008270BA">
              <w:rPr>
                <w:w w:val="90"/>
                <w:sz w:val="24"/>
              </w:rPr>
              <w:t>12,5%</w:t>
            </w:r>
          </w:p>
        </w:tc>
      </w:tr>
      <w:tr w:rsidR="00A36BA5" w:rsidRPr="008270BA" w14:paraId="453940D2" w14:textId="77777777" w:rsidTr="00B2692E">
        <w:trPr>
          <w:trHeight w:val="1160"/>
        </w:trPr>
        <w:tc>
          <w:tcPr>
            <w:tcW w:w="1600" w:type="dxa"/>
          </w:tcPr>
          <w:p w14:paraId="188AB3F8" w14:textId="77777777" w:rsidR="00A36BA5" w:rsidRPr="008270BA" w:rsidRDefault="008270BA" w:rsidP="00B2692E">
            <w:pPr>
              <w:pStyle w:val="TableParagraph"/>
              <w:spacing w:before="0" w:line="252" w:lineRule="auto"/>
              <w:ind w:left="117" w:right="89"/>
              <w:rPr>
                <w:w w:val="90"/>
                <w:sz w:val="24"/>
              </w:rPr>
            </w:pPr>
            <w:r w:rsidRPr="008270BA">
              <w:rPr>
                <w:w w:val="90"/>
                <w:sz w:val="24"/>
              </w:rPr>
              <w:t>Heterosexuales de alto riesgo (n=370 en</w:t>
            </w:r>
          </w:p>
          <w:p w14:paraId="1C26EA7E" w14:textId="77777777" w:rsidR="00A36BA5" w:rsidRPr="008270BA" w:rsidRDefault="008270BA" w:rsidP="00B2692E">
            <w:pPr>
              <w:pStyle w:val="TableParagraph"/>
              <w:spacing w:before="0" w:line="267" w:lineRule="exact"/>
              <w:ind w:left="117" w:right="89"/>
              <w:rPr>
                <w:w w:val="90"/>
                <w:sz w:val="24"/>
              </w:rPr>
            </w:pPr>
            <w:r w:rsidRPr="008270BA">
              <w:rPr>
                <w:w w:val="90"/>
                <w:sz w:val="24"/>
              </w:rPr>
              <w:t>2019)</w:t>
            </w:r>
          </w:p>
        </w:tc>
        <w:tc>
          <w:tcPr>
            <w:tcW w:w="1280" w:type="dxa"/>
          </w:tcPr>
          <w:p w14:paraId="1BFE9C7F" w14:textId="77777777" w:rsidR="00A36BA5" w:rsidRPr="008270BA" w:rsidRDefault="00A36BA5">
            <w:pPr>
              <w:pStyle w:val="TableParagraph"/>
              <w:spacing w:before="9"/>
              <w:rPr>
                <w:w w:val="90"/>
                <w:sz w:val="37"/>
              </w:rPr>
            </w:pPr>
          </w:p>
          <w:p w14:paraId="11C67ADF" w14:textId="77777777" w:rsidR="00A36BA5" w:rsidRPr="008270BA" w:rsidRDefault="008270BA">
            <w:pPr>
              <w:pStyle w:val="TableParagraph"/>
              <w:spacing w:before="0"/>
              <w:ind w:left="172" w:right="145"/>
              <w:jc w:val="center"/>
              <w:rPr>
                <w:w w:val="90"/>
                <w:sz w:val="24"/>
              </w:rPr>
            </w:pPr>
            <w:r w:rsidRPr="008270BA">
              <w:rPr>
                <w:w w:val="90"/>
                <w:sz w:val="24"/>
              </w:rPr>
              <w:t>78,4%</w:t>
            </w:r>
          </w:p>
        </w:tc>
        <w:tc>
          <w:tcPr>
            <w:tcW w:w="1300" w:type="dxa"/>
          </w:tcPr>
          <w:p w14:paraId="06648279" w14:textId="77777777" w:rsidR="00A36BA5" w:rsidRPr="008270BA" w:rsidRDefault="00A36BA5">
            <w:pPr>
              <w:pStyle w:val="TableParagraph"/>
              <w:spacing w:before="9"/>
              <w:rPr>
                <w:w w:val="90"/>
                <w:sz w:val="37"/>
              </w:rPr>
            </w:pPr>
          </w:p>
          <w:p w14:paraId="58EE1E0B" w14:textId="77777777" w:rsidR="00A36BA5" w:rsidRPr="008270BA" w:rsidRDefault="008270BA">
            <w:pPr>
              <w:pStyle w:val="TableParagraph"/>
              <w:spacing w:before="0"/>
              <w:ind w:right="314"/>
              <w:jc w:val="right"/>
              <w:rPr>
                <w:w w:val="90"/>
                <w:sz w:val="24"/>
              </w:rPr>
            </w:pPr>
            <w:r w:rsidRPr="008270BA">
              <w:rPr>
                <w:w w:val="90"/>
                <w:sz w:val="24"/>
              </w:rPr>
              <w:t>44,2%</w:t>
            </w:r>
          </w:p>
        </w:tc>
        <w:tc>
          <w:tcPr>
            <w:tcW w:w="1300" w:type="dxa"/>
          </w:tcPr>
          <w:p w14:paraId="42036DC7" w14:textId="77777777" w:rsidR="00A36BA5" w:rsidRPr="008270BA" w:rsidRDefault="00A36BA5">
            <w:pPr>
              <w:pStyle w:val="TableParagraph"/>
              <w:spacing w:before="9"/>
              <w:rPr>
                <w:w w:val="90"/>
                <w:sz w:val="37"/>
              </w:rPr>
            </w:pPr>
          </w:p>
          <w:p w14:paraId="189746B5" w14:textId="77777777" w:rsidR="00A36BA5" w:rsidRPr="008270BA" w:rsidRDefault="008270BA">
            <w:pPr>
              <w:pStyle w:val="TableParagraph"/>
              <w:spacing w:before="0"/>
              <w:ind w:left="276" w:right="225"/>
              <w:jc w:val="center"/>
              <w:rPr>
                <w:w w:val="90"/>
                <w:sz w:val="24"/>
              </w:rPr>
            </w:pPr>
            <w:r w:rsidRPr="008270BA">
              <w:rPr>
                <w:w w:val="90"/>
                <w:sz w:val="24"/>
              </w:rPr>
              <w:t>13,2%</w:t>
            </w:r>
          </w:p>
        </w:tc>
        <w:tc>
          <w:tcPr>
            <w:tcW w:w="1280" w:type="dxa"/>
          </w:tcPr>
          <w:p w14:paraId="7E80584E" w14:textId="77777777" w:rsidR="00A36BA5" w:rsidRPr="008270BA" w:rsidRDefault="00A36BA5">
            <w:pPr>
              <w:pStyle w:val="TableParagraph"/>
              <w:spacing w:before="9"/>
              <w:rPr>
                <w:w w:val="90"/>
                <w:sz w:val="37"/>
              </w:rPr>
            </w:pPr>
          </w:p>
          <w:p w14:paraId="1CC89E47" w14:textId="77777777" w:rsidR="00A36BA5" w:rsidRPr="008270BA" w:rsidRDefault="008270BA">
            <w:pPr>
              <w:pStyle w:val="TableParagraph"/>
              <w:spacing w:before="0"/>
              <w:ind w:left="367"/>
              <w:rPr>
                <w:w w:val="90"/>
                <w:sz w:val="24"/>
              </w:rPr>
            </w:pPr>
            <w:r w:rsidRPr="008270BA">
              <w:rPr>
                <w:w w:val="90"/>
                <w:sz w:val="24"/>
              </w:rPr>
              <w:t>85,6%</w:t>
            </w:r>
          </w:p>
        </w:tc>
        <w:tc>
          <w:tcPr>
            <w:tcW w:w="1280" w:type="dxa"/>
          </w:tcPr>
          <w:p w14:paraId="576CB9AC" w14:textId="77777777" w:rsidR="00A36BA5" w:rsidRPr="008270BA" w:rsidRDefault="00A36BA5">
            <w:pPr>
              <w:pStyle w:val="TableParagraph"/>
              <w:spacing w:before="9"/>
              <w:rPr>
                <w:w w:val="90"/>
                <w:sz w:val="37"/>
              </w:rPr>
            </w:pPr>
          </w:p>
          <w:p w14:paraId="011BD7F3" w14:textId="77777777" w:rsidR="00A36BA5" w:rsidRPr="008270BA" w:rsidRDefault="008270BA">
            <w:pPr>
              <w:pStyle w:val="TableParagraph"/>
              <w:spacing w:before="0"/>
              <w:ind w:left="348"/>
              <w:rPr>
                <w:w w:val="90"/>
                <w:sz w:val="24"/>
              </w:rPr>
            </w:pPr>
            <w:r w:rsidRPr="008270BA">
              <w:rPr>
                <w:w w:val="90"/>
                <w:sz w:val="24"/>
              </w:rPr>
              <w:t>58,5%</w:t>
            </w:r>
          </w:p>
        </w:tc>
        <w:tc>
          <w:tcPr>
            <w:tcW w:w="1493" w:type="dxa"/>
          </w:tcPr>
          <w:p w14:paraId="24383E4D" w14:textId="77777777" w:rsidR="00A36BA5" w:rsidRPr="008270BA" w:rsidRDefault="00A36BA5">
            <w:pPr>
              <w:pStyle w:val="TableParagraph"/>
              <w:spacing w:before="9"/>
              <w:rPr>
                <w:w w:val="90"/>
                <w:sz w:val="37"/>
              </w:rPr>
            </w:pPr>
          </w:p>
          <w:p w14:paraId="1CBACC38" w14:textId="77777777" w:rsidR="00A36BA5" w:rsidRPr="008270BA" w:rsidRDefault="008270BA">
            <w:pPr>
              <w:pStyle w:val="TableParagraph"/>
              <w:spacing w:before="0"/>
              <w:ind w:right="371"/>
              <w:jc w:val="right"/>
              <w:rPr>
                <w:w w:val="90"/>
                <w:sz w:val="24"/>
              </w:rPr>
            </w:pPr>
            <w:r w:rsidRPr="008270BA">
              <w:rPr>
                <w:w w:val="90"/>
                <w:sz w:val="24"/>
              </w:rPr>
              <w:t>1,6%</w:t>
            </w:r>
          </w:p>
        </w:tc>
      </w:tr>
      <w:tr w:rsidR="00A36BA5" w:rsidRPr="008270BA" w14:paraId="00BEBDF4" w14:textId="77777777" w:rsidTr="00B2692E">
        <w:trPr>
          <w:trHeight w:val="780"/>
        </w:trPr>
        <w:tc>
          <w:tcPr>
            <w:tcW w:w="1600" w:type="dxa"/>
          </w:tcPr>
          <w:p w14:paraId="40788A86" w14:textId="77777777" w:rsidR="00A36BA5" w:rsidRPr="008270BA" w:rsidRDefault="008270BA" w:rsidP="00B2692E">
            <w:pPr>
              <w:pStyle w:val="TableParagraph"/>
              <w:spacing w:before="0" w:line="227" w:lineRule="exact"/>
              <w:ind w:left="117" w:right="89"/>
              <w:rPr>
                <w:w w:val="90"/>
              </w:rPr>
            </w:pPr>
            <w:r w:rsidRPr="008270BA">
              <w:rPr>
                <w:w w:val="90"/>
              </w:rPr>
              <w:t>Mujeres</w:t>
            </w:r>
          </w:p>
          <w:p w14:paraId="6B670ABF" w14:textId="77777777" w:rsidR="00A36BA5" w:rsidRPr="008270BA" w:rsidRDefault="008270BA" w:rsidP="00B2692E">
            <w:pPr>
              <w:pStyle w:val="TableParagraph"/>
              <w:spacing w:before="7" w:line="247" w:lineRule="auto"/>
              <w:ind w:left="117" w:right="89"/>
              <w:rPr>
                <w:w w:val="90"/>
              </w:rPr>
            </w:pPr>
            <w:r w:rsidRPr="008270BA">
              <w:rPr>
                <w:w w:val="90"/>
              </w:rPr>
              <w:t>transgénero (N=222)</w:t>
            </w:r>
          </w:p>
        </w:tc>
        <w:tc>
          <w:tcPr>
            <w:tcW w:w="1280" w:type="dxa"/>
          </w:tcPr>
          <w:p w14:paraId="6B1439F2" w14:textId="77777777" w:rsidR="00A36BA5" w:rsidRPr="008270BA" w:rsidRDefault="008270BA">
            <w:pPr>
              <w:pStyle w:val="TableParagraph"/>
              <w:spacing w:before="233"/>
              <w:ind w:left="176" w:right="145"/>
              <w:jc w:val="center"/>
              <w:rPr>
                <w:w w:val="90"/>
              </w:rPr>
            </w:pPr>
            <w:r w:rsidRPr="008270BA">
              <w:rPr>
                <w:w w:val="90"/>
              </w:rPr>
              <w:t>87,8%</w:t>
            </w:r>
          </w:p>
        </w:tc>
        <w:tc>
          <w:tcPr>
            <w:tcW w:w="1300" w:type="dxa"/>
          </w:tcPr>
          <w:p w14:paraId="01FFDCCC" w14:textId="77777777" w:rsidR="00A36BA5" w:rsidRPr="008270BA" w:rsidRDefault="008270BA">
            <w:pPr>
              <w:pStyle w:val="TableParagraph"/>
              <w:spacing w:before="233"/>
              <w:ind w:right="340"/>
              <w:jc w:val="right"/>
              <w:rPr>
                <w:w w:val="90"/>
              </w:rPr>
            </w:pPr>
            <w:r w:rsidRPr="008270BA">
              <w:rPr>
                <w:w w:val="90"/>
              </w:rPr>
              <w:t>76,5%</w:t>
            </w:r>
          </w:p>
        </w:tc>
        <w:tc>
          <w:tcPr>
            <w:tcW w:w="1300" w:type="dxa"/>
          </w:tcPr>
          <w:p w14:paraId="4FC63688" w14:textId="77777777" w:rsidR="00A36BA5" w:rsidRPr="008270BA" w:rsidRDefault="008270BA">
            <w:pPr>
              <w:pStyle w:val="TableParagraph"/>
              <w:spacing w:before="233"/>
              <w:ind w:left="274" w:right="225"/>
              <w:jc w:val="center"/>
              <w:rPr>
                <w:w w:val="90"/>
              </w:rPr>
            </w:pPr>
            <w:r w:rsidRPr="008270BA">
              <w:rPr>
                <w:w w:val="90"/>
              </w:rPr>
              <w:t>45,2%</w:t>
            </w:r>
          </w:p>
        </w:tc>
        <w:tc>
          <w:tcPr>
            <w:tcW w:w="1280" w:type="dxa"/>
          </w:tcPr>
          <w:p w14:paraId="0226D0A3" w14:textId="77777777" w:rsidR="00A36BA5" w:rsidRPr="008270BA" w:rsidRDefault="008270BA">
            <w:pPr>
              <w:pStyle w:val="TableParagraph"/>
              <w:spacing w:before="233"/>
              <w:ind w:left="393"/>
              <w:rPr>
                <w:w w:val="90"/>
              </w:rPr>
            </w:pPr>
            <w:r w:rsidRPr="008270BA">
              <w:rPr>
                <w:w w:val="90"/>
              </w:rPr>
              <w:t>91,3%</w:t>
            </w:r>
          </w:p>
        </w:tc>
        <w:tc>
          <w:tcPr>
            <w:tcW w:w="1280" w:type="dxa"/>
          </w:tcPr>
          <w:p w14:paraId="261E9D70" w14:textId="77777777" w:rsidR="00A36BA5" w:rsidRPr="008270BA" w:rsidRDefault="008270BA">
            <w:pPr>
              <w:pStyle w:val="TableParagraph"/>
              <w:spacing w:before="233"/>
              <w:ind w:left="375"/>
              <w:rPr>
                <w:w w:val="90"/>
              </w:rPr>
            </w:pPr>
            <w:r w:rsidRPr="008270BA">
              <w:rPr>
                <w:w w:val="90"/>
              </w:rPr>
              <w:t>74,2%</w:t>
            </w:r>
          </w:p>
        </w:tc>
        <w:tc>
          <w:tcPr>
            <w:tcW w:w="1493" w:type="dxa"/>
          </w:tcPr>
          <w:p w14:paraId="7F8A8935" w14:textId="77777777" w:rsidR="00A36BA5" w:rsidRPr="008270BA" w:rsidRDefault="008270BA">
            <w:pPr>
              <w:pStyle w:val="TableParagraph"/>
              <w:spacing w:before="233"/>
              <w:ind w:right="335"/>
              <w:jc w:val="right"/>
              <w:rPr>
                <w:w w:val="90"/>
              </w:rPr>
            </w:pPr>
            <w:r w:rsidRPr="008270BA">
              <w:rPr>
                <w:w w:val="90"/>
              </w:rPr>
              <w:t>55,2%</w:t>
            </w:r>
          </w:p>
        </w:tc>
      </w:tr>
    </w:tbl>
    <w:p w14:paraId="3089EB52" w14:textId="77777777" w:rsidR="00A36BA5" w:rsidRPr="008270BA" w:rsidRDefault="00A36BA5">
      <w:pPr>
        <w:pStyle w:val="BodyText"/>
        <w:spacing w:before="7"/>
        <w:rPr>
          <w:w w:val="90"/>
          <w:sz w:val="16"/>
        </w:rPr>
      </w:pPr>
    </w:p>
    <w:p w14:paraId="36156CAD" w14:textId="77777777" w:rsidR="00A36BA5" w:rsidRPr="008270BA" w:rsidRDefault="008270BA">
      <w:pPr>
        <w:pStyle w:val="BodyText"/>
        <w:spacing w:before="104" w:line="256" w:lineRule="auto"/>
        <w:ind w:left="380" w:right="558"/>
        <w:rPr>
          <w:w w:val="90"/>
        </w:rPr>
      </w:pPr>
      <w:r w:rsidRPr="008270BA">
        <w:rPr>
          <w:w w:val="90"/>
        </w:rPr>
        <w:t xml:space="preserve">El PDPH ha implementado un programa de prueba de VIH en el hogar, que tiene el potencial de eliminar el estigma de la evaluación. También puede brindar una alternativa para personas que corren alto riesgo de contraer VIH y que no están dispuestas a realizarse la prueba en otros lugares. Se distribuyen kits de prueba de VIH en combinación con una campaña de prueba de VIH. Los consumidores pueden solicitar kits de prueba en el hogar mediante el sitio web de la campaña: </w:t>
      </w:r>
      <w:hyperlink r:id="rId15">
        <w:r w:rsidRPr="008270BA">
          <w:rPr>
            <w:w w:val="90"/>
            <w:u w:val="single"/>
          </w:rPr>
          <w:t>http://www.PhillyKeepOnLoving.com</w:t>
        </w:r>
        <w:r w:rsidRPr="008270BA">
          <w:rPr>
            <w:w w:val="90"/>
          </w:rPr>
          <w:t>.</w:t>
        </w:r>
      </w:hyperlink>
    </w:p>
    <w:p w14:paraId="6EF6FD8D" w14:textId="77777777" w:rsidR="00A36BA5" w:rsidRPr="008270BA" w:rsidRDefault="00A36BA5">
      <w:pPr>
        <w:pStyle w:val="BodyText"/>
        <w:spacing w:before="7"/>
        <w:rPr>
          <w:w w:val="90"/>
        </w:rPr>
      </w:pPr>
    </w:p>
    <w:p w14:paraId="146A0482" w14:textId="77777777" w:rsidR="00A36BA5" w:rsidRPr="008270BA" w:rsidRDefault="008270BA" w:rsidP="00B2692E">
      <w:pPr>
        <w:pStyle w:val="BodyText"/>
        <w:spacing w:line="254" w:lineRule="auto"/>
        <w:ind w:left="380" w:right="500"/>
        <w:rPr>
          <w:w w:val="90"/>
        </w:rPr>
      </w:pPr>
      <w:r w:rsidRPr="008270BA">
        <w:rPr>
          <w:w w:val="90"/>
        </w:rPr>
        <w:t xml:space="preserve">Los </w:t>
      </w:r>
      <w:r w:rsidRPr="008270BA">
        <w:rPr>
          <w:b/>
          <w:w w:val="90"/>
        </w:rPr>
        <w:t xml:space="preserve">Servicios de Socios </w:t>
      </w:r>
      <w:r w:rsidRPr="008270BA">
        <w:rPr>
          <w:w w:val="90"/>
        </w:rPr>
        <w:t>(</w:t>
      </w:r>
      <w:proofErr w:type="spellStart"/>
      <w:r w:rsidRPr="008270BA">
        <w:rPr>
          <w:w w:val="90"/>
        </w:rPr>
        <w:t>Partner</w:t>
      </w:r>
      <w:proofErr w:type="spellEnd"/>
      <w:r w:rsidRPr="008270BA">
        <w:rPr>
          <w:w w:val="90"/>
        </w:rPr>
        <w:t xml:space="preserve"> </w:t>
      </w:r>
      <w:proofErr w:type="spellStart"/>
      <w:r w:rsidRPr="008270BA">
        <w:rPr>
          <w:w w:val="90"/>
        </w:rPr>
        <w:t>Services</w:t>
      </w:r>
      <w:proofErr w:type="spellEnd"/>
      <w:r w:rsidRPr="008270BA">
        <w:rPr>
          <w:w w:val="90"/>
        </w:rPr>
        <w:t xml:space="preserve">, PS) son un componente esencial en el proceso de prueba de VIH que notifica a los socios sobre posibles exposiciones al VIH y conecta a las personas identificadas a atención médica por VIH o PrEP. Los PS también pueden afectar </w:t>
      </w:r>
      <w:r w:rsidRPr="008270BA">
        <w:rPr>
          <w:w w:val="90"/>
        </w:rPr>
        <w:lastRenderedPageBreak/>
        <w:t>considerablemente los otros tres pilares: tratar, prevenir y responder. En Filadelfia, los Servicios de Socios se realizan con (1) todas las personas con una infección de VIH recién identificada, casos diagnosticados anteriormente con altas cargas virales, y contactos con casos índice que son localizables y aceptan ser entrevistados; (2) PLWH con un diagnóstico de gonorrea o sífilis que se pueden</w:t>
      </w:r>
      <w:r w:rsidR="00B2692E">
        <w:rPr>
          <w:w w:val="90"/>
        </w:rPr>
        <w:t xml:space="preserve"> </w:t>
      </w:r>
      <w:r w:rsidRPr="008270BA">
        <w:rPr>
          <w:w w:val="90"/>
        </w:rPr>
        <w:t>localizar y aceptan ser entrevistados; y (3) todas las personas con nuevos diagnósticos de sífilis y contactos con casos índice que son localizables y aceptan ser entrevistados. En 2019, el 56% de las personas con un nuevo diagnóstico de VIH fueron entrevistadas por Servicios de Socios.</w:t>
      </w:r>
    </w:p>
    <w:p w14:paraId="423BB37D" w14:textId="77777777" w:rsidR="00A36BA5" w:rsidRPr="008270BA" w:rsidRDefault="00A36BA5">
      <w:pPr>
        <w:pStyle w:val="BodyText"/>
        <w:spacing w:before="7"/>
        <w:rPr>
          <w:w w:val="90"/>
          <w:sz w:val="27"/>
        </w:rPr>
      </w:pPr>
    </w:p>
    <w:p w14:paraId="07618819" w14:textId="77777777" w:rsidR="00A36BA5" w:rsidRPr="008270BA" w:rsidRDefault="008270BA">
      <w:pPr>
        <w:pStyle w:val="BodyText"/>
        <w:ind w:left="380"/>
        <w:rPr>
          <w:w w:val="90"/>
        </w:rPr>
      </w:pPr>
      <w:r w:rsidRPr="008270BA">
        <w:rPr>
          <w:w w:val="90"/>
        </w:rPr>
        <w:t>Brechas identificadas:</w:t>
      </w:r>
    </w:p>
    <w:p w14:paraId="43AED7B6" w14:textId="77777777" w:rsidR="00A36BA5" w:rsidRPr="008270BA" w:rsidRDefault="008270BA">
      <w:pPr>
        <w:pStyle w:val="ListParagraph"/>
        <w:numPr>
          <w:ilvl w:val="0"/>
          <w:numId w:val="1"/>
        </w:numPr>
        <w:tabs>
          <w:tab w:val="left" w:pos="979"/>
        </w:tabs>
        <w:spacing w:before="24"/>
        <w:ind w:hanging="241"/>
        <w:rPr>
          <w:w w:val="90"/>
          <w:sz w:val="24"/>
        </w:rPr>
      </w:pPr>
      <w:r w:rsidRPr="008270BA">
        <w:rPr>
          <w:w w:val="90"/>
          <w:sz w:val="24"/>
        </w:rPr>
        <w:t>Pruebas insuficientes a las poblaciones clave en entornos basados en la comunidad</w:t>
      </w:r>
    </w:p>
    <w:p w14:paraId="2596368A" w14:textId="77777777" w:rsidR="00A36BA5" w:rsidRPr="008270BA" w:rsidRDefault="008270BA">
      <w:pPr>
        <w:pStyle w:val="ListParagraph"/>
        <w:numPr>
          <w:ilvl w:val="0"/>
          <w:numId w:val="1"/>
        </w:numPr>
        <w:tabs>
          <w:tab w:val="left" w:pos="979"/>
        </w:tabs>
        <w:spacing w:before="24"/>
        <w:ind w:hanging="241"/>
        <w:rPr>
          <w:w w:val="90"/>
          <w:sz w:val="24"/>
        </w:rPr>
      </w:pPr>
      <w:r w:rsidRPr="008270BA">
        <w:rPr>
          <w:w w:val="90"/>
          <w:sz w:val="24"/>
        </w:rPr>
        <w:t>Pruebas de rutina de las que uno puede elegir excluirse insuficientes en entornos clínicos</w:t>
      </w:r>
    </w:p>
    <w:p w14:paraId="0EB7024F" w14:textId="77777777" w:rsidR="00A36BA5" w:rsidRPr="008270BA" w:rsidRDefault="008270BA">
      <w:pPr>
        <w:pStyle w:val="ListParagraph"/>
        <w:numPr>
          <w:ilvl w:val="0"/>
          <w:numId w:val="1"/>
        </w:numPr>
        <w:tabs>
          <w:tab w:val="left" w:pos="979"/>
        </w:tabs>
        <w:spacing w:before="4"/>
        <w:ind w:hanging="241"/>
        <w:rPr>
          <w:w w:val="90"/>
          <w:sz w:val="24"/>
        </w:rPr>
      </w:pPr>
      <w:r w:rsidRPr="008270BA">
        <w:rPr>
          <w:w w:val="90"/>
          <w:sz w:val="24"/>
        </w:rPr>
        <w:t>Pruebas inadecuadas entre personas en alto riesgo de exposición al VIH</w:t>
      </w:r>
    </w:p>
    <w:p w14:paraId="1DE050B1" w14:textId="77777777" w:rsidR="00A36BA5" w:rsidRPr="008270BA" w:rsidRDefault="00A36BA5">
      <w:pPr>
        <w:pStyle w:val="BodyText"/>
        <w:spacing w:before="2"/>
        <w:rPr>
          <w:w w:val="90"/>
          <w:sz w:val="30"/>
        </w:rPr>
      </w:pPr>
    </w:p>
    <w:p w14:paraId="41844E6C" w14:textId="77777777" w:rsidR="00A36BA5" w:rsidRPr="008270BA" w:rsidRDefault="008270BA">
      <w:pPr>
        <w:pStyle w:val="Heading2"/>
        <w:spacing w:before="0"/>
        <w:rPr>
          <w:w w:val="90"/>
        </w:rPr>
      </w:pPr>
      <w:bookmarkStart w:id="9" w:name="_TOC_250015"/>
      <w:r w:rsidRPr="008270BA">
        <w:rPr>
          <w:w w:val="90"/>
        </w:rPr>
        <w:t xml:space="preserve">Pilar 2: </w:t>
      </w:r>
      <w:bookmarkEnd w:id="9"/>
      <w:r w:rsidRPr="008270BA">
        <w:rPr>
          <w:w w:val="90"/>
        </w:rPr>
        <w:t>Tratar</w:t>
      </w:r>
    </w:p>
    <w:p w14:paraId="0BC160F3" w14:textId="77777777" w:rsidR="00A36BA5" w:rsidRPr="008270BA" w:rsidRDefault="00A36BA5">
      <w:pPr>
        <w:pStyle w:val="BodyText"/>
        <w:spacing w:before="10"/>
        <w:rPr>
          <w:w w:val="90"/>
          <w:sz w:val="30"/>
        </w:rPr>
      </w:pPr>
    </w:p>
    <w:p w14:paraId="14B10A58" w14:textId="77777777" w:rsidR="00A36BA5" w:rsidRPr="008270BA" w:rsidRDefault="008270BA">
      <w:pPr>
        <w:pStyle w:val="BodyText"/>
        <w:spacing w:line="276" w:lineRule="auto"/>
        <w:ind w:left="380" w:right="566"/>
        <w:rPr>
          <w:w w:val="90"/>
        </w:rPr>
      </w:pPr>
      <w:r w:rsidRPr="008270BA">
        <w:rPr>
          <w:w w:val="90"/>
        </w:rPr>
        <w:t xml:space="preserve">Para las personas que alcanzan y mantienen la supresión viral, efectivamente no hay riesgo de transmisión de VIH a sus parejas sexuales. El PDPH financia un sistema de 18 </w:t>
      </w:r>
      <w:r w:rsidRPr="008270BA">
        <w:rPr>
          <w:b/>
          <w:w w:val="90"/>
        </w:rPr>
        <w:t>centros médicos de atención ambulatoria</w:t>
      </w:r>
      <w:r w:rsidRPr="008270BA">
        <w:rPr>
          <w:w w:val="90"/>
        </w:rPr>
        <w:t xml:space="preserve"> con proveedores experimentados en VIH dentro de la ciudad. En Filadelfia, las 12,748 PLWH que tuvieron al menos una visita de atención médica por VIH en los últimos 12 meses tienen una tasa de supresión viral del 88%. Las tasas de retención en atención médica son bajas, y solo el 53.2% de las PLWH recibieron al menos dos visitas por VIH en 2019 (consultar el Apéndice C para encontrar definiciones de retención en la atención).</w:t>
      </w:r>
    </w:p>
    <w:p w14:paraId="66E6910E" w14:textId="77777777" w:rsidR="00A36BA5" w:rsidRPr="008270BA" w:rsidRDefault="00A36BA5">
      <w:pPr>
        <w:pStyle w:val="BodyText"/>
        <w:spacing w:before="5"/>
        <w:rPr>
          <w:w w:val="90"/>
          <w:sz w:val="27"/>
        </w:rPr>
      </w:pPr>
    </w:p>
    <w:p w14:paraId="3657C40B" w14:textId="77777777" w:rsidR="00A36BA5" w:rsidRPr="008270BA" w:rsidRDefault="008270BA">
      <w:pPr>
        <w:pStyle w:val="BodyText"/>
        <w:spacing w:before="1" w:line="273" w:lineRule="auto"/>
        <w:ind w:left="380" w:right="594"/>
        <w:rPr>
          <w:w w:val="90"/>
        </w:rPr>
      </w:pPr>
      <w:r w:rsidRPr="008270BA">
        <w:rPr>
          <w:w w:val="90"/>
        </w:rPr>
        <w:t xml:space="preserve">El </w:t>
      </w:r>
      <w:r w:rsidRPr="008270BA">
        <w:rPr>
          <w:b/>
          <w:w w:val="90"/>
        </w:rPr>
        <w:t>comienzo inmediato de la terapia antirretroviral (</w:t>
      </w:r>
      <w:proofErr w:type="spellStart"/>
      <w:r w:rsidRPr="008270BA">
        <w:rPr>
          <w:b/>
          <w:w w:val="90"/>
        </w:rPr>
        <w:t>anti-retroviral</w:t>
      </w:r>
      <w:proofErr w:type="spellEnd"/>
      <w:r w:rsidRPr="008270BA">
        <w:rPr>
          <w:b/>
          <w:w w:val="90"/>
        </w:rPr>
        <w:t xml:space="preserve"> </w:t>
      </w:r>
      <w:proofErr w:type="spellStart"/>
      <w:r w:rsidRPr="008270BA">
        <w:rPr>
          <w:b/>
          <w:w w:val="90"/>
        </w:rPr>
        <w:t>therapy</w:t>
      </w:r>
      <w:proofErr w:type="spellEnd"/>
      <w:r w:rsidRPr="008270BA">
        <w:rPr>
          <w:b/>
          <w:w w:val="90"/>
        </w:rPr>
        <w:t>, ART)</w:t>
      </w:r>
      <w:r w:rsidRPr="008270BA">
        <w:rPr>
          <w:w w:val="90"/>
        </w:rPr>
        <w:t xml:space="preserve"> será clave para lograr las metas de EHE y reducir los obstáculos para conseguir atención para personas con nuevos diagnósticos de VIH. Hay datos disponibles sobre la fecha de comienzo de la ART para aproximadamente el 50% de los nuevos diagnósticos en Filadelfia. En 2019, 59 personas fueron iniciadas en terapia ART dentro de los 0-4 días siguientes a su diagnóstico.</w:t>
      </w:r>
    </w:p>
    <w:p w14:paraId="60089A6F" w14:textId="77777777" w:rsidR="00A36BA5" w:rsidRPr="008270BA" w:rsidRDefault="00A36BA5">
      <w:pPr>
        <w:pStyle w:val="BodyText"/>
        <w:spacing w:before="10"/>
        <w:rPr>
          <w:w w:val="90"/>
          <w:sz w:val="27"/>
        </w:rPr>
      </w:pPr>
    </w:p>
    <w:p w14:paraId="45197641" w14:textId="77777777" w:rsidR="00A36BA5" w:rsidRPr="008270BA" w:rsidRDefault="008270BA">
      <w:pPr>
        <w:pStyle w:val="BodyText"/>
        <w:spacing w:before="1" w:line="273" w:lineRule="auto"/>
        <w:ind w:left="380" w:right="515"/>
        <w:rPr>
          <w:w w:val="90"/>
        </w:rPr>
      </w:pPr>
      <w:r w:rsidRPr="008270BA">
        <w:rPr>
          <w:w w:val="90"/>
        </w:rPr>
        <w:t xml:space="preserve">La </w:t>
      </w:r>
      <w:r w:rsidRPr="008270BA">
        <w:rPr>
          <w:b/>
          <w:w w:val="90"/>
        </w:rPr>
        <w:t>Gestión de Casos Médicos (Medical Case Management, MCM)</w:t>
      </w:r>
      <w:r w:rsidRPr="008270BA">
        <w:rPr>
          <w:w w:val="90"/>
        </w:rPr>
        <w:t xml:space="preserve"> ofrece un abanico de actividades centradas en el cliente para mejorar los resultados de salud. El PDPH financia a 20 proveedores de MCM en la ciudad, que incluyen centros médicos donde los servicios de MCM están </w:t>
      </w:r>
      <w:proofErr w:type="spellStart"/>
      <w:r w:rsidRPr="008270BA">
        <w:rPr>
          <w:w w:val="90"/>
        </w:rPr>
        <w:t>coubicados</w:t>
      </w:r>
      <w:proofErr w:type="spellEnd"/>
      <w:r w:rsidRPr="008270BA">
        <w:rPr>
          <w:w w:val="90"/>
        </w:rPr>
        <w:t xml:space="preserve"> con atención médica por VIH (se prestaron servicios a 8,667 PLWH en 2019). La MCM es una importante intervención de retención en Filadelfia y consiste en dos niveles de atención:</w:t>
      </w:r>
    </w:p>
    <w:p w14:paraId="7CDA84F6" w14:textId="77777777" w:rsidR="00A36BA5" w:rsidRPr="008270BA" w:rsidRDefault="008270BA">
      <w:pPr>
        <w:pStyle w:val="BodyText"/>
        <w:spacing w:before="1" w:line="273" w:lineRule="auto"/>
        <w:ind w:left="380" w:right="823"/>
        <w:rPr>
          <w:w w:val="90"/>
        </w:rPr>
      </w:pPr>
      <w:r w:rsidRPr="008270BA">
        <w:rPr>
          <w:w w:val="90"/>
        </w:rPr>
        <w:t>(1) Los servicios completos de gestión de casos se enfocan en personas que no alcanzaron la supresión viral; (2) Los servicios de gestión de casos estándar se enfocan en mantener a las personas que alcanzaron la supresión viral dentro de la atención médica por VIH. Las actividades de MCM incluyen la conexión a atención médica por VIH para personas recién diagnosticadas y que no están recibiendo atención y apoyo para el cumplimiento con el tratamiento.</w:t>
      </w:r>
    </w:p>
    <w:p w14:paraId="662BBA0A" w14:textId="77777777" w:rsidR="00A36BA5" w:rsidRPr="008270BA" w:rsidRDefault="00A36BA5">
      <w:pPr>
        <w:pStyle w:val="BodyText"/>
        <w:rPr>
          <w:w w:val="90"/>
          <w:sz w:val="28"/>
        </w:rPr>
      </w:pPr>
    </w:p>
    <w:p w14:paraId="368D0865" w14:textId="77777777" w:rsidR="00A36BA5" w:rsidRPr="008270BA" w:rsidRDefault="008270BA">
      <w:pPr>
        <w:pStyle w:val="BodyText"/>
        <w:spacing w:line="276" w:lineRule="auto"/>
        <w:ind w:left="380" w:right="546"/>
        <w:rPr>
          <w:w w:val="90"/>
        </w:rPr>
      </w:pPr>
      <w:r w:rsidRPr="008270BA">
        <w:rPr>
          <w:w w:val="90"/>
        </w:rPr>
        <w:lastRenderedPageBreak/>
        <w:t>Otros servicios centrales ofrecidos a PLWH son apoyo de salud mental y abuso de sustancias, medicamentos para el VIH de emergencia, servicios médicos nutricionales y atención de salud oral (3,284 clientes recibieron estos servicios en 2019). Además, el PDPH financia servicios para abordar los determinantes sociales de la salud, lo que incluye asistencia financiera de emergencia (para pagar el alquiler y los servicios públicos en mora); comidas con entrega a domicilio/bancos de alimentos; asistencia con la vivienda; servicios legales; servicios lingüísticos (traducción e interpretación); y transporte (9,183 clientes recibieron servicios en 2019).</w:t>
      </w:r>
    </w:p>
    <w:p w14:paraId="5B87E0B5" w14:textId="77777777" w:rsidR="00A36BA5" w:rsidRPr="008270BA" w:rsidRDefault="008270BA">
      <w:pPr>
        <w:spacing w:line="228" w:lineRule="exact"/>
        <w:ind w:left="380"/>
        <w:rPr>
          <w:w w:val="90"/>
        </w:rPr>
      </w:pPr>
      <w:r w:rsidRPr="008270BA">
        <w:rPr>
          <w:w w:val="90"/>
        </w:rPr>
        <w:t>Para más información sobre los servicios centrales y de soporte brindados mediante el Programa Ryan White,</w:t>
      </w:r>
    </w:p>
    <w:p w14:paraId="06C46DAD" w14:textId="77777777" w:rsidR="00A36BA5" w:rsidRPr="00901650" w:rsidRDefault="008270BA">
      <w:pPr>
        <w:pStyle w:val="BodyText"/>
        <w:spacing w:before="48" w:line="278" w:lineRule="auto"/>
        <w:ind w:left="380" w:right="212"/>
        <w:rPr>
          <w:w w:val="90"/>
          <w:sz w:val="22"/>
          <w:lang w:val="es-ES"/>
        </w:rPr>
      </w:pPr>
      <w:r w:rsidRPr="00901650">
        <w:rPr>
          <w:w w:val="90"/>
          <w:sz w:val="22"/>
          <w:lang w:val="es-ES"/>
        </w:rPr>
        <w:t xml:space="preserve">visite: </w:t>
      </w:r>
      <w:r w:rsidRPr="00901650">
        <w:rPr>
          <w:w w:val="90"/>
          <w:u w:val="single"/>
          <w:lang w:val="es-ES"/>
        </w:rPr>
        <w:t>https://hab.hrsa.gov/about-ryan-white-hivaids-program/about-ryan-white-hivaids-</w:t>
      </w:r>
      <w:r w:rsidRPr="00901650">
        <w:rPr>
          <w:w w:val="90"/>
          <w:lang w:val="es-ES"/>
        </w:rPr>
        <w:t xml:space="preserve"> </w:t>
      </w:r>
      <w:proofErr w:type="spellStart"/>
      <w:r w:rsidRPr="00901650">
        <w:rPr>
          <w:w w:val="90"/>
          <w:u w:val="single"/>
          <w:lang w:val="es-ES"/>
        </w:rPr>
        <w:t>program</w:t>
      </w:r>
      <w:proofErr w:type="spellEnd"/>
      <w:r w:rsidRPr="00901650">
        <w:rPr>
          <w:w w:val="90"/>
          <w:sz w:val="22"/>
          <w:lang w:val="es-ES"/>
        </w:rPr>
        <w:t>.</w:t>
      </w:r>
    </w:p>
    <w:p w14:paraId="38B04B3B" w14:textId="77777777" w:rsidR="00B2692E" w:rsidRDefault="00B2692E">
      <w:pPr>
        <w:pStyle w:val="BodyText"/>
        <w:spacing w:before="94" w:line="278" w:lineRule="auto"/>
        <w:ind w:left="380" w:right="558"/>
        <w:rPr>
          <w:b/>
          <w:w w:val="90"/>
        </w:rPr>
      </w:pPr>
    </w:p>
    <w:p w14:paraId="5E42F7EA" w14:textId="77777777" w:rsidR="00A36BA5" w:rsidRPr="008270BA" w:rsidRDefault="008270BA">
      <w:pPr>
        <w:pStyle w:val="BodyText"/>
        <w:spacing w:before="94" w:line="278" w:lineRule="auto"/>
        <w:ind w:left="380" w:right="558"/>
        <w:rPr>
          <w:w w:val="90"/>
        </w:rPr>
      </w:pPr>
      <w:r w:rsidRPr="008270BA">
        <w:rPr>
          <w:b/>
          <w:w w:val="90"/>
        </w:rPr>
        <w:t>Data-</w:t>
      </w:r>
      <w:proofErr w:type="spellStart"/>
      <w:r w:rsidRPr="008270BA">
        <w:rPr>
          <w:b/>
          <w:w w:val="90"/>
        </w:rPr>
        <w:t>to</w:t>
      </w:r>
      <w:proofErr w:type="spellEnd"/>
      <w:r w:rsidRPr="008270BA">
        <w:rPr>
          <w:b/>
          <w:w w:val="90"/>
        </w:rPr>
        <w:t>-</w:t>
      </w:r>
      <w:proofErr w:type="spellStart"/>
      <w:r w:rsidRPr="008270BA">
        <w:rPr>
          <w:b/>
          <w:w w:val="90"/>
        </w:rPr>
        <w:t>Care</w:t>
      </w:r>
      <w:proofErr w:type="spellEnd"/>
      <w:r w:rsidRPr="008270BA">
        <w:rPr>
          <w:b/>
          <w:w w:val="90"/>
        </w:rPr>
        <w:t xml:space="preserve"> </w:t>
      </w:r>
      <w:r w:rsidRPr="008270BA">
        <w:rPr>
          <w:w w:val="90"/>
        </w:rPr>
        <w:t>(D2C) es una estrategia basada en la evidencia que usa datos de salud pública sobre VIH y otros datos para apoyar la Continuidad de Atención del VIH al identificar a PLWH que no están recibiendo atención médica y facilitar su reconexión con la atención. Se prestaron servicios a 322 personas en 2018 mediante actividades de D2C; 269 de ellas fueron reconectadas a atención médica por VIH y 209 de ellas mantenían la supresión viral un año después de la inscripción en Data-</w:t>
      </w:r>
      <w:proofErr w:type="spellStart"/>
      <w:r w:rsidRPr="008270BA">
        <w:rPr>
          <w:w w:val="90"/>
        </w:rPr>
        <w:t>to</w:t>
      </w:r>
      <w:proofErr w:type="spellEnd"/>
      <w:r w:rsidRPr="008270BA">
        <w:rPr>
          <w:w w:val="90"/>
        </w:rPr>
        <w:t>-</w:t>
      </w:r>
      <w:proofErr w:type="spellStart"/>
      <w:r w:rsidRPr="008270BA">
        <w:rPr>
          <w:w w:val="90"/>
        </w:rPr>
        <w:t>Care</w:t>
      </w:r>
      <w:proofErr w:type="spellEnd"/>
      <w:r w:rsidRPr="008270BA">
        <w:rPr>
          <w:w w:val="90"/>
        </w:rPr>
        <w:t>.</w:t>
      </w:r>
    </w:p>
    <w:p w14:paraId="4A2DB1E9" w14:textId="77777777" w:rsidR="00A36BA5" w:rsidRPr="008270BA" w:rsidRDefault="00A36BA5">
      <w:pPr>
        <w:pStyle w:val="BodyText"/>
        <w:rPr>
          <w:w w:val="90"/>
          <w:sz w:val="26"/>
        </w:rPr>
      </w:pPr>
    </w:p>
    <w:p w14:paraId="560F12AE" w14:textId="77777777" w:rsidR="00A36BA5" w:rsidRPr="008270BA" w:rsidRDefault="008270BA">
      <w:pPr>
        <w:pStyle w:val="BodyText"/>
        <w:ind w:left="380"/>
        <w:rPr>
          <w:w w:val="90"/>
        </w:rPr>
      </w:pPr>
      <w:r w:rsidRPr="008270BA">
        <w:rPr>
          <w:w w:val="90"/>
        </w:rPr>
        <w:t>Brechas identificadas:</w:t>
      </w:r>
    </w:p>
    <w:p w14:paraId="1B4C91A7" w14:textId="77777777" w:rsidR="00A36BA5" w:rsidRPr="008270BA" w:rsidRDefault="008270BA">
      <w:pPr>
        <w:pStyle w:val="ListParagraph"/>
        <w:numPr>
          <w:ilvl w:val="0"/>
          <w:numId w:val="6"/>
        </w:numPr>
        <w:tabs>
          <w:tab w:val="left" w:pos="619"/>
        </w:tabs>
        <w:spacing w:before="44"/>
        <w:ind w:hanging="241"/>
        <w:rPr>
          <w:w w:val="90"/>
          <w:sz w:val="24"/>
        </w:rPr>
      </w:pPr>
      <w:r w:rsidRPr="008270BA">
        <w:rPr>
          <w:w w:val="90"/>
          <w:sz w:val="24"/>
        </w:rPr>
        <w:t>ART inmediata (dentro de los 0-4 días siguientes al diagnóstico)</w:t>
      </w:r>
    </w:p>
    <w:p w14:paraId="637C717B" w14:textId="77777777" w:rsidR="00A36BA5" w:rsidRPr="008270BA" w:rsidRDefault="008270BA">
      <w:pPr>
        <w:pStyle w:val="ListParagraph"/>
        <w:numPr>
          <w:ilvl w:val="0"/>
          <w:numId w:val="6"/>
        </w:numPr>
        <w:tabs>
          <w:tab w:val="left" w:pos="619"/>
        </w:tabs>
        <w:spacing w:before="44"/>
        <w:ind w:hanging="241"/>
        <w:rPr>
          <w:w w:val="90"/>
          <w:sz w:val="24"/>
        </w:rPr>
      </w:pPr>
      <w:r w:rsidRPr="008270BA">
        <w:rPr>
          <w:w w:val="90"/>
          <w:sz w:val="24"/>
        </w:rPr>
        <w:t>Recaptación de personas que no están recibiendo atención médica para que la reciban</w:t>
      </w:r>
    </w:p>
    <w:p w14:paraId="381A7644" w14:textId="77777777" w:rsidR="00A36BA5" w:rsidRPr="008270BA" w:rsidRDefault="008270BA">
      <w:pPr>
        <w:pStyle w:val="ListParagraph"/>
        <w:numPr>
          <w:ilvl w:val="0"/>
          <w:numId w:val="6"/>
        </w:numPr>
        <w:tabs>
          <w:tab w:val="left" w:pos="619"/>
        </w:tabs>
        <w:spacing w:before="44"/>
        <w:ind w:hanging="241"/>
        <w:rPr>
          <w:w w:val="90"/>
          <w:sz w:val="24"/>
        </w:rPr>
      </w:pPr>
      <w:r w:rsidRPr="008270BA">
        <w:rPr>
          <w:w w:val="90"/>
          <w:sz w:val="24"/>
        </w:rPr>
        <w:t>Retención continua en la atención médica por VIH</w:t>
      </w:r>
    </w:p>
    <w:p w14:paraId="6A37EED5" w14:textId="77777777" w:rsidR="00A36BA5" w:rsidRPr="008270BA" w:rsidRDefault="008270BA">
      <w:pPr>
        <w:pStyle w:val="ListParagraph"/>
        <w:numPr>
          <w:ilvl w:val="0"/>
          <w:numId w:val="6"/>
        </w:numPr>
        <w:tabs>
          <w:tab w:val="left" w:pos="619"/>
        </w:tabs>
        <w:spacing w:before="45"/>
        <w:ind w:hanging="241"/>
        <w:rPr>
          <w:w w:val="90"/>
          <w:sz w:val="24"/>
        </w:rPr>
      </w:pPr>
      <w:r w:rsidRPr="008270BA">
        <w:rPr>
          <w:w w:val="90"/>
          <w:sz w:val="24"/>
        </w:rPr>
        <w:t>Aumento en las tasas de supresión viral duraderas</w:t>
      </w:r>
    </w:p>
    <w:p w14:paraId="7ED2634D" w14:textId="77777777" w:rsidR="00A36BA5" w:rsidRPr="008270BA" w:rsidRDefault="008270BA">
      <w:pPr>
        <w:pStyle w:val="ListParagraph"/>
        <w:numPr>
          <w:ilvl w:val="0"/>
          <w:numId w:val="6"/>
        </w:numPr>
        <w:tabs>
          <w:tab w:val="left" w:pos="619"/>
        </w:tabs>
        <w:spacing w:before="24"/>
        <w:ind w:hanging="241"/>
        <w:rPr>
          <w:w w:val="90"/>
          <w:sz w:val="24"/>
        </w:rPr>
      </w:pPr>
      <w:r w:rsidRPr="008270BA">
        <w:rPr>
          <w:w w:val="90"/>
          <w:sz w:val="24"/>
        </w:rPr>
        <w:t>Mayor acceso a atención médica por VIH de umbral bajo</w:t>
      </w:r>
    </w:p>
    <w:p w14:paraId="68387FD3" w14:textId="77777777" w:rsidR="00A36BA5" w:rsidRPr="008270BA" w:rsidRDefault="00A36BA5">
      <w:pPr>
        <w:pStyle w:val="BodyText"/>
        <w:spacing w:before="9"/>
        <w:rPr>
          <w:w w:val="90"/>
          <w:sz w:val="31"/>
        </w:rPr>
      </w:pPr>
    </w:p>
    <w:p w14:paraId="5A8CAF6C" w14:textId="77777777" w:rsidR="00A36BA5" w:rsidRPr="008270BA" w:rsidRDefault="008270BA">
      <w:pPr>
        <w:pStyle w:val="Heading2"/>
        <w:spacing w:before="1"/>
        <w:rPr>
          <w:w w:val="90"/>
        </w:rPr>
      </w:pPr>
      <w:bookmarkStart w:id="10" w:name="_TOC_250014"/>
      <w:r w:rsidRPr="008270BA">
        <w:rPr>
          <w:w w:val="90"/>
        </w:rPr>
        <w:t xml:space="preserve">Pilar 3: </w:t>
      </w:r>
      <w:bookmarkEnd w:id="10"/>
      <w:r w:rsidRPr="008270BA">
        <w:rPr>
          <w:w w:val="90"/>
        </w:rPr>
        <w:t>Prevenir</w:t>
      </w:r>
    </w:p>
    <w:p w14:paraId="6232A00B" w14:textId="77777777" w:rsidR="00A36BA5" w:rsidRPr="008270BA" w:rsidRDefault="00A36BA5">
      <w:pPr>
        <w:pStyle w:val="BodyText"/>
        <w:spacing w:before="1"/>
        <w:rPr>
          <w:w w:val="90"/>
          <w:sz w:val="29"/>
        </w:rPr>
      </w:pPr>
    </w:p>
    <w:p w14:paraId="4B32AFB8" w14:textId="77777777" w:rsidR="00A36BA5" w:rsidRPr="008270BA" w:rsidRDefault="008270BA">
      <w:pPr>
        <w:pStyle w:val="BodyText"/>
        <w:spacing w:before="1" w:line="278" w:lineRule="auto"/>
        <w:ind w:left="380" w:right="690"/>
        <w:rPr>
          <w:w w:val="90"/>
        </w:rPr>
      </w:pPr>
      <w:r w:rsidRPr="008270BA">
        <w:rPr>
          <w:w w:val="90"/>
        </w:rPr>
        <w:t xml:space="preserve">El PDPH participa en la </w:t>
      </w:r>
      <w:r w:rsidRPr="008270BA">
        <w:rPr>
          <w:b/>
          <w:w w:val="90"/>
        </w:rPr>
        <w:t>distribución de condones</w:t>
      </w:r>
      <w:r w:rsidRPr="008270BA">
        <w:rPr>
          <w:w w:val="90"/>
        </w:rPr>
        <w:t xml:space="preserve"> a gran escala en toda Filadelfia. El año pasado, el PDPH distribuyó 1.3 millones de condones gratuitos mediante varias actividades de extensión, que incluyeron educación y marketing social.</w:t>
      </w:r>
    </w:p>
    <w:p w14:paraId="728C0AFF" w14:textId="77777777" w:rsidR="00A36BA5" w:rsidRPr="008270BA" w:rsidRDefault="00A36BA5">
      <w:pPr>
        <w:pStyle w:val="BodyText"/>
        <w:spacing w:before="9"/>
        <w:rPr>
          <w:w w:val="90"/>
          <w:sz w:val="27"/>
        </w:rPr>
      </w:pPr>
    </w:p>
    <w:p w14:paraId="018EBAB9" w14:textId="77777777" w:rsidR="00A36BA5" w:rsidRPr="008270BA" w:rsidRDefault="008270BA">
      <w:pPr>
        <w:pStyle w:val="BodyText"/>
        <w:spacing w:line="273" w:lineRule="auto"/>
        <w:ind w:left="380" w:right="657"/>
        <w:rPr>
          <w:w w:val="90"/>
        </w:rPr>
      </w:pPr>
      <w:r w:rsidRPr="008270BA">
        <w:rPr>
          <w:w w:val="90"/>
        </w:rPr>
        <w:t xml:space="preserve">El PDPH está promoviendo activamente otras intervenciones de prevención biomédica, como la PrEP. Las clínicas financiadas por el PDPH brindaron </w:t>
      </w:r>
      <w:r w:rsidRPr="008270BA">
        <w:rPr>
          <w:b/>
          <w:w w:val="90"/>
        </w:rPr>
        <w:t xml:space="preserve">servicios de navegación de PrEP </w:t>
      </w:r>
      <w:r w:rsidRPr="008270BA">
        <w:rPr>
          <w:w w:val="90"/>
        </w:rPr>
        <w:t xml:space="preserve">a 1,017 personas en 2019. La PrEP es segura y eficaz para prevenir el contagio de VIH. Se estima que 13,960 personas en Filadelfia que son VIH negativo tienen una indicación de PrEP. Este grupo incluye MSM (8,290), personas que se inyectan drogas (2,570) y heterosexuales (3,100). Tendremos estimaciones para mujeres transgénero próximamente. Los indicadores varían considerablemente por raza/etnia, con proporciones más altas de personas de color con una indicación de PrEP en todos los grupos de riesgo. Se han emprendido </w:t>
      </w:r>
      <w:r w:rsidRPr="008270BA">
        <w:rPr>
          <w:b/>
          <w:w w:val="90"/>
        </w:rPr>
        <w:t xml:space="preserve">actividades de promoción de la salud </w:t>
      </w:r>
      <w:r w:rsidRPr="008270BA">
        <w:rPr>
          <w:w w:val="90"/>
        </w:rPr>
        <w:t>para expandir los conocimientos de PrEP mediante el sitio web de la campaña, PhillyKeepOnLoving.com. El PDPH ha desarrollado un plan de monitoreo y evaluación de PrEP para poder acceder a su uso por subpoblación.</w:t>
      </w:r>
    </w:p>
    <w:p w14:paraId="5B9DF5D7" w14:textId="77777777" w:rsidR="00A36BA5" w:rsidRPr="008270BA" w:rsidRDefault="00A36BA5">
      <w:pPr>
        <w:pStyle w:val="BodyText"/>
        <w:spacing w:before="3"/>
        <w:rPr>
          <w:w w:val="90"/>
          <w:sz w:val="27"/>
        </w:rPr>
      </w:pPr>
    </w:p>
    <w:p w14:paraId="55ED2082" w14:textId="77777777" w:rsidR="00A36BA5" w:rsidRPr="008270BA" w:rsidRDefault="008270BA">
      <w:pPr>
        <w:pStyle w:val="BodyText"/>
        <w:spacing w:line="276" w:lineRule="auto"/>
        <w:ind w:left="380" w:right="558"/>
        <w:rPr>
          <w:w w:val="90"/>
        </w:rPr>
      </w:pPr>
      <w:r w:rsidRPr="008270BA">
        <w:rPr>
          <w:w w:val="90"/>
        </w:rPr>
        <w:t xml:space="preserve">La </w:t>
      </w:r>
      <w:r w:rsidRPr="008270BA">
        <w:rPr>
          <w:b/>
          <w:w w:val="90"/>
        </w:rPr>
        <w:t>movilización de la comunidad transgénero</w:t>
      </w:r>
      <w:r w:rsidRPr="008270BA">
        <w:rPr>
          <w:w w:val="90"/>
        </w:rPr>
        <w:t xml:space="preserve"> brinda espacios de afirmación de género con capacidad de respuesta cultural para que las personas transgénero que tienen sexo con hombres busquen información sobre prevención y tratamiento del VIH, promuevan educación basada en los derechos con respecto al acceso a la atención médica, y realicen actividades que reduzcan el estigma en torno al VIH. Actualmente, un conjunto diverso de organizaciones comunitarias implementa esta actividad en toda la Ciudad. Las organizaciones financiadas varían, desde centros de tratamiento residencial hasta grandes centros de salud comunitarios LGBT.</w:t>
      </w:r>
    </w:p>
    <w:p w14:paraId="0504F3A5" w14:textId="77777777" w:rsidR="00A36BA5" w:rsidRPr="008270BA" w:rsidRDefault="00A36BA5">
      <w:pPr>
        <w:pStyle w:val="BodyText"/>
        <w:spacing w:before="8"/>
        <w:rPr>
          <w:w w:val="90"/>
          <w:sz w:val="32"/>
        </w:rPr>
      </w:pPr>
    </w:p>
    <w:p w14:paraId="2A03C14E" w14:textId="77777777" w:rsidR="00A36BA5" w:rsidRPr="008270BA" w:rsidRDefault="008270BA">
      <w:pPr>
        <w:pStyle w:val="BodyText"/>
        <w:spacing w:line="261" w:lineRule="auto"/>
        <w:ind w:left="380" w:right="344"/>
        <w:rPr>
          <w:w w:val="90"/>
        </w:rPr>
      </w:pPr>
      <w:r w:rsidRPr="00B2692E">
        <w:rPr>
          <w:w w:val="85"/>
        </w:rPr>
        <w:t xml:space="preserve">El PDPH ha apoyado </w:t>
      </w:r>
      <w:r w:rsidRPr="00B2692E">
        <w:rPr>
          <w:b/>
          <w:bCs/>
          <w:w w:val="85"/>
        </w:rPr>
        <w:t>programas de servicios de jeringas</w:t>
      </w:r>
      <w:r w:rsidRPr="00B2692E">
        <w:rPr>
          <w:w w:val="85"/>
        </w:rPr>
        <w:t xml:space="preserve"> a través del Fondo general de la ciudad desde 1992</w:t>
      </w:r>
      <w:r w:rsidRPr="008270BA">
        <w:rPr>
          <w:w w:val="90"/>
        </w:rPr>
        <w:t>. En 2019, el programa realizó 12,557 intercambios únicos y dispensó 3.9 millones de jeringas.</w:t>
      </w:r>
    </w:p>
    <w:p w14:paraId="6D1BA84C" w14:textId="77777777" w:rsidR="00A36BA5" w:rsidRPr="008270BA" w:rsidRDefault="008270BA">
      <w:pPr>
        <w:pStyle w:val="BodyText"/>
        <w:spacing w:before="114" w:line="273" w:lineRule="auto"/>
        <w:ind w:left="380" w:right="480"/>
        <w:rPr>
          <w:w w:val="90"/>
        </w:rPr>
      </w:pPr>
      <w:r w:rsidRPr="008270BA">
        <w:rPr>
          <w:w w:val="90"/>
        </w:rPr>
        <w:t xml:space="preserve">Las reducciones anteriores en infecciones por VIH debido al uso drogas inyectables en Filadelfia se debieron a diversos factores de protección, incluyendo acceso a jeringas estériles a través de </w:t>
      </w:r>
      <w:proofErr w:type="spellStart"/>
      <w:r w:rsidRPr="008270BA">
        <w:rPr>
          <w:w w:val="90"/>
        </w:rPr>
        <w:t>Prevention</w:t>
      </w:r>
      <w:proofErr w:type="spellEnd"/>
      <w:r w:rsidRPr="008270BA">
        <w:rPr>
          <w:w w:val="90"/>
        </w:rPr>
        <w:t xml:space="preserve"> Point </w:t>
      </w:r>
      <w:proofErr w:type="spellStart"/>
      <w:r w:rsidRPr="008270BA">
        <w:rPr>
          <w:w w:val="90"/>
        </w:rPr>
        <w:t>Philadephia</w:t>
      </w:r>
      <w:proofErr w:type="spellEnd"/>
      <w:r w:rsidRPr="008270BA">
        <w:rPr>
          <w:w w:val="90"/>
        </w:rPr>
        <w:t>, acceso a tratamiento por consumo de drogas, y cambios conductuales entre los usuarios experimentados. En un estudio reciente, se estimó que los programas de intercambio de jeringas en Filadelfia evitaron 10,000 nuevas infecciones por VIH durante 10 años</w:t>
      </w:r>
      <w:r w:rsidRPr="008270BA">
        <w:rPr>
          <w:w w:val="90"/>
          <w:vertAlign w:val="superscript"/>
        </w:rPr>
        <w:t>20</w:t>
      </w:r>
      <w:r w:rsidRPr="008270BA">
        <w:rPr>
          <w:w w:val="90"/>
        </w:rPr>
        <w:t>. Sin embargo, de 2016 a 2019, la cantidad de nuevas infecciones diagnosticadas por VIH entre PWID aumentaron un 151% (n=83 casos). Los nuevos diagnósticos de VIH en esta población continuaron aumentando. En 2019, Filadelfia tuvo una de las tasas más altas de muertes por drogas en el país en relación con el mal uso de opioides con un estimado de 963 muerte</w:t>
      </w:r>
      <w:r w:rsidRPr="008270BA">
        <w:rPr>
          <w:w w:val="90"/>
          <w:vertAlign w:val="superscript"/>
        </w:rPr>
        <w:t>21</w:t>
      </w:r>
      <w:r w:rsidRPr="008270BA">
        <w:rPr>
          <w:w w:val="90"/>
        </w:rPr>
        <w:t>. Este aumento se correlaciona con la crisis de opioides de Filadelfia, que está caracterizada por la introducción de fentanilo, un alza en la cantidad de personas que se inyectan drogas, un aumento en la indigencia entre usuarios de drogas, un aumento en la transmisión de la Hepatitis C, y aumentos marcados en las sobredosis fatales y no fatales con drogas. El fentanilo tiene un efecto más corto que la heroína, por lo que las personas que se inyectan fentanilo lo hacen de manera más frecuente.</w:t>
      </w:r>
    </w:p>
    <w:p w14:paraId="59145914" w14:textId="77777777" w:rsidR="00A36BA5" w:rsidRPr="008270BA" w:rsidRDefault="00A36BA5">
      <w:pPr>
        <w:pStyle w:val="BodyText"/>
        <w:spacing w:before="9"/>
        <w:rPr>
          <w:w w:val="90"/>
          <w:sz w:val="27"/>
        </w:rPr>
      </w:pPr>
    </w:p>
    <w:p w14:paraId="7CAA3CA3" w14:textId="77777777" w:rsidR="00A36BA5" w:rsidRPr="008270BA" w:rsidRDefault="008270BA">
      <w:pPr>
        <w:pStyle w:val="BodyText"/>
        <w:spacing w:before="1" w:line="278" w:lineRule="auto"/>
        <w:ind w:left="380" w:right="342"/>
        <w:rPr>
          <w:w w:val="90"/>
        </w:rPr>
      </w:pPr>
      <w:r w:rsidRPr="008270BA">
        <w:rPr>
          <w:w w:val="90"/>
        </w:rPr>
        <w:t xml:space="preserve">No hubo infecciones perinatales de VIH en 2016, 2017, 2018 o 2019, sin embargo, hubo 1 transmisión perinatal de VIH informada hasta ahora en 2020. El PDPH mantiene actividades continuas de </w:t>
      </w:r>
      <w:r w:rsidRPr="008270BA">
        <w:rPr>
          <w:b/>
          <w:bCs/>
          <w:w w:val="90"/>
        </w:rPr>
        <w:t>prevención de VIH perinatal</w:t>
      </w:r>
      <w:r w:rsidRPr="008270BA">
        <w:rPr>
          <w:w w:val="90"/>
        </w:rPr>
        <w:t xml:space="preserve"> incluyendo revisión de casos centinela y manejo de casos especializados para mujeres embarazadas que viven con VIH.</w:t>
      </w:r>
    </w:p>
    <w:p w14:paraId="29E53A65" w14:textId="77777777" w:rsidR="00A36BA5" w:rsidRPr="008270BA" w:rsidRDefault="00A36BA5">
      <w:pPr>
        <w:pStyle w:val="BodyText"/>
        <w:spacing w:before="5"/>
        <w:rPr>
          <w:w w:val="90"/>
          <w:sz w:val="29"/>
        </w:rPr>
      </w:pPr>
    </w:p>
    <w:p w14:paraId="59FDEDDC" w14:textId="77777777" w:rsidR="00A36BA5" w:rsidRPr="008270BA" w:rsidRDefault="008270BA">
      <w:pPr>
        <w:pStyle w:val="BodyText"/>
        <w:spacing w:before="1"/>
        <w:ind w:left="380"/>
        <w:rPr>
          <w:w w:val="90"/>
        </w:rPr>
      </w:pPr>
      <w:r w:rsidRPr="008270BA">
        <w:rPr>
          <w:w w:val="90"/>
        </w:rPr>
        <w:t>Brechas identificadas:</w:t>
      </w:r>
    </w:p>
    <w:p w14:paraId="7D9B0176" w14:textId="77777777" w:rsidR="00A36BA5" w:rsidRPr="008270BA" w:rsidRDefault="008270BA">
      <w:pPr>
        <w:pStyle w:val="ListParagraph"/>
        <w:numPr>
          <w:ilvl w:val="1"/>
          <w:numId w:val="6"/>
        </w:numPr>
        <w:tabs>
          <w:tab w:val="left" w:pos="979"/>
        </w:tabs>
        <w:spacing w:before="44"/>
        <w:ind w:hanging="241"/>
        <w:rPr>
          <w:w w:val="90"/>
          <w:sz w:val="24"/>
        </w:rPr>
      </w:pPr>
      <w:r w:rsidRPr="008270BA">
        <w:rPr>
          <w:w w:val="90"/>
          <w:sz w:val="24"/>
        </w:rPr>
        <w:t>No hay suficiente cantidad de personas en riesgo de adquirir VIH a las que se les receta PrEP.</w:t>
      </w:r>
    </w:p>
    <w:p w14:paraId="3E940554" w14:textId="77777777" w:rsidR="00A36BA5" w:rsidRPr="008270BA" w:rsidRDefault="008270BA">
      <w:pPr>
        <w:pStyle w:val="ListParagraph"/>
        <w:numPr>
          <w:ilvl w:val="1"/>
          <w:numId w:val="6"/>
        </w:numPr>
        <w:tabs>
          <w:tab w:val="left" w:pos="979"/>
        </w:tabs>
        <w:spacing w:before="44"/>
        <w:ind w:hanging="241"/>
        <w:rPr>
          <w:w w:val="90"/>
          <w:sz w:val="24"/>
        </w:rPr>
      </w:pPr>
      <w:r w:rsidRPr="008270BA">
        <w:rPr>
          <w:w w:val="90"/>
          <w:sz w:val="24"/>
        </w:rPr>
        <w:t>Datos insuficientes para evaluar la adopción de PrEP.</w:t>
      </w:r>
    </w:p>
    <w:p w14:paraId="4F9D2BED" w14:textId="77777777" w:rsidR="00A36BA5" w:rsidRPr="008270BA" w:rsidRDefault="008270BA">
      <w:pPr>
        <w:pStyle w:val="ListParagraph"/>
        <w:numPr>
          <w:ilvl w:val="1"/>
          <w:numId w:val="6"/>
        </w:numPr>
        <w:tabs>
          <w:tab w:val="left" w:pos="979"/>
        </w:tabs>
        <w:spacing w:before="44"/>
        <w:ind w:hanging="241"/>
        <w:rPr>
          <w:w w:val="90"/>
          <w:sz w:val="24"/>
        </w:rPr>
      </w:pPr>
      <w:r w:rsidRPr="008270BA">
        <w:rPr>
          <w:w w:val="90"/>
          <w:sz w:val="24"/>
        </w:rPr>
        <w:t>Expansión de programas de servicios de jeringas luego de la crisis de los opioides.</w:t>
      </w:r>
    </w:p>
    <w:p w14:paraId="5BAAF6B7" w14:textId="77777777" w:rsidR="00A36BA5" w:rsidRPr="008270BA" w:rsidRDefault="008270BA">
      <w:pPr>
        <w:pStyle w:val="ListParagraph"/>
        <w:numPr>
          <w:ilvl w:val="1"/>
          <w:numId w:val="6"/>
        </w:numPr>
        <w:tabs>
          <w:tab w:val="left" w:pos="979"/>
        </w:tabs>
        <w:spacing w:before="44"/>
        <w:ind w:hanging="241"/>
        <w:rPr>
          <w:w w:val="90"/>
          <w:sz w:val="24"/>
        </w:rPr>
      </w:pPr>
      <w:r w:rsidRPr="008270BA">
        <w:rPr>
          <w:w w:val="90"/>
          <w:sz w:val="24"/>
        </w:rPr>
        <w:t>Baja concientización y acceso a profilaxis posterior a la exposición.</w:t>
      </w:r>
    </w:p>
    <w:p w14:paraId="48C7BF98" w14:textId="77777777" w:rsidR="00A36BA5" w:rsidRPr="008270BA" w:rsidRDefault="00A36BA5">
      <w:pPr>
        <w:pStyle w:val="BodyText"/>
        <w:spacing w:before="1"/>
        <w:rPr>
          <w:w w:val="90"/>
          <w:sz w:val="30"/>
        </w:rPr>
      </w:pPr>
    </w:p>
    <w:p w14:paraId="320E0063" w14:textId="77777777" w:rsidR="00A36BA5" w:rsidRPr="008270BA" w:rsidRDefault="008270BA">
      <w:pPr>
        <w:pStyle w:val="Heading2"/>
        <w:spacing w:before="0"/>
        <w:rPr>
          <w:w w:val="90"/>
        </w:rPr>
      </w:pPr>
      <w:bookmarkStart w:id="11" w:name="_TOC_250013"/>
      <w:r w:rsidRPr="008270BA">
        <w:rPr>
          <w:w w:val="90"/>
        </w:rPr>
        <w:t xml:space="preserve">Pilar 4: </w:t>
      </w:r>
      <w:bookmarkEnd w:id="11"/>
      <w:r w:rsidRPr="008270BA">
        <w:rPr>
          <w:w w:val="90"/>
        </w:rPr>
        <w:t>Responder</w:t>
      </w:r>
    </w:p>
    <w:p w14:paraId="5E31AB75" w14:textId="77777777" w:rsidR="00A36BA5" w:rsidRPr="008270BA" w:rsidRDefault="008270BA">
      <w:pPr>
        <w:pStyle w:val="BodyText"/>
        <w:spacing w:before="296" w:line="254" w:lineRule="auto"/>
        <w:ind w:left="120" w:right="186"/>
        <w:rPr>
          <w:w w:val="90"/>
        </w:rPr>
      </w:pPr>
      <w:r w:rsidRPr="008270BA">
        <w:rPr>
          <w:w w:val="90"/>
        </w:rPr>
        <w:lastRenderedPageBreak/>
        <w:t>El análisis de datos de salud pública de VIH usando los métodos detallados en el Plan de respuesta al brote del PDPH identifica nuevos grupos de infecciones relacionadas con el VIH. El Plan de respuesta al brote guía al PDPH y a sus socios comunitarios, incluyendo a los proveedores de atención y tratamiento de VIH, proveedores de prevención de abuso de sustancias y atención, y agencias de testeo comunitarias, para coordinar e implementar las actividades de respuesta necesarias para tratar las tendencias emergentes y monitorear un brote hasta que se resuelve. Por ejemplo, el PDPH usó análisis geográficos y de tiempo sobre nuevas infecciones para identificar un brote de VIH entre PWID en 2018. El PDPH también identificó nuevos grupos de infecciones relacionadas entre MSM en Filadelfia a través del análisis de datos de laboratorio. Un equipo de respuesta al brote que incluye personal de múltiples unidades del PDPH desarrolló intervenciones para abordar tanto estos grupos de infecciones relacionadas como el brote de VIH entre PWID.</w:t>
      </w:r>
    </w:p>
    <w:p w14:paraId="328B8B03" w14:textId="77777777" w:rsidR="00A36BA5" w:rsidRPr="008270BA" w:rsidRDefault="00A36BA5">
      <w:pPr>
        <w:pStyle w:val="BodyText"/>
        <w:spacing w:before="7"/>
        <w:rPr>
          <w:w w:val="90"/>
          <w:sz w:val="25"/>
        </w:rPr>
      </w:pPr>
    </w:p>
    <w:p w14:paraId="2E60ADF5" w14:textId="77777777" w:rsidR="00A36BA5" w:rsidRPr="008270BA" w:rsidRDefault="008270BA" w:rsidP="00B2692E">
      <w:pPr>
        <w:pStyle w:val="BodyText"/>
        <w:spacing w:line="256" w:lineRule="auto"/>
        <w:ind w:left="120" w:right="255"/>
        <w:rPr>
          <w:w w:val="90"/>
        </w:rPr>
      </w:pPr>
      <w:r w:rsidRPr="008270BA">
        <w:rPr>
          <w:w w:val="90"/>
        </w:rPr>
        <w:t>Como se indicó más arriba, en septiembre de 2018, el PDPH identificó un aumento en nuevos diagnósticos de VIH entre PWID. El aumento se identificó a través de análisis de rutina de datos de salud pública de VIH por parte del PDPH. El análisis mostró un aumento en la cantidad de casos de VIH con riesgo de transmisión entre PWID dispersadas en regiones geográficas específicas de Filadelfia. De los 164 casos de VIH entre PWID identificados que están relacionados con el brote al 31 de diciembre de 2019, el 75% fue vinculado con atención en 30 días, el 51% fueron retenidos en la atención y 64% tienen supresión</w:t>
      </w:r>
      <w:r w:rsidR="00B2692E">
        <w:rPr>
          <w:w w:val="90"/>
        </w:rPr>
        <w:t xml:space="preserve"> </w:t>
      </w:r>
      <w:r w:rsidRPr="008270BA">
        <w:rPr>
          <w:w w:val="90"/>
        </w:rPr>
        <w:t>viral. Los resultados para PWID están más retrasados que los de las personas diagnosticadas con VIH de transmisión MSM o heterosexual durante el mismo período. Las respuestas han involucrado el aumento de pruebas de VIH en áreas clave de la ciudad; aumentar los recursos de servicios de jeringas; iniciativas para utilizar Servicios de Socios para ubicar y vincular a las personas afectadas por el brote; implementación de enfoques de reducción de daños por parte de los proveedores tanto de prevención como de atención. Además, un grupo de proveedores médicos "Todo en un solo lugar" organizaron sus recursos para brindar atención médica por VIH, PrEP, Tratamiento asistido con medicación para abuso de sustancias, gestión de casos médicos y conexión con los servicios de apoyo necesarios, en un solo lugar.</w:t>
      </w:r>
    </w:p>
    <w:p w14:paraId="4DFE6EDD" w14:textId="77777777" w:rsidR="00A36BA5" w:rsidRPr="008270BA" w:rsidRDefault="00A36BA5">
      <w:pPr>
        <w:pStyle w:val="BodyText"/>
        <w:spacing w:before="10"/>
        <w:rPr>
          <w:w w:val="90"/>
        </w:rPr>
      </w:pPr>
    </w:p>
    <w:p w14:paraId="34EFEC7A" w14:textId="77777777" w:rsidR="00A36BA5" w:rsidRPr="008270BA" w:rsidRDefault="008270BA">
      <w:pPr>
        <w:pStyle w:val="BodyText"/>
        <w:spacing w:line="256" w:lineRule="auto"/>
        <w:ind w:left="380" w:right="508"/>
        <w:rPr>
          <w:w w:val="90"/>
        </w:rPr>
      </w:pPr>
      <w:r w:rsidRPr="008270BA">
        <w:rPr>
          <w:b/>
          <w:w w:val="90"/>
        </w:rPr>
        <w:t xml:space="preserve">La Vigilancia molecular de VIH (Molecular HIV </w:t>
      </w:r>
      <w:proofErr w:type="spellStart"/>
      <w:r w:rsidRPr="008270BA">
        <w:rPr>
          <w:b/>
          <w:w w:val="90"/>
        </w:rPr>
        <w:t>Surveillance</w:t>
      </w:r>
      <w:proofErr w:type="spellEnd"/>
      <w:r w:rsidRPr="008270BA">
        <w:rPr>
          <w:b/>
          <w:w w:val="90"/>
        </w:rPr>
        <w:t xml:space="preserve">, MHS) </w:t>
      </w:r>
      <w:r w:rsidRPr="008270BA">
        <w:rPr>
          <w:w w:val="90"/>
        </w:rPr>
        <w:t>promete ser una herramienta efectiva para responder a la epidemia del VIH. La MHS usa datos de salud pública recolectados de manera rutinaria para identificar grupos emergentes y crecientes de infecciones por VIH relacionadas. La MHS es la recolección de datos genéticos de VIH, usados en forma rutinaria por proveedores médicos para tomar decisiones de tratamiento para pacientes individuales, que ha sido usada para apoyar a los departamentos de salud local y estatal para monitorear las tendencias en la transmisión de VIH y resistencia a los medicamentos</w:t>
      </w:r>
      <w:r w:rsidRPr="008270BA">
        <w:rPr>
          <w:w w:val="90"/>
          <w:vertAlign w:val="superscript"/>
        </w:rPr>
        <w:t>22</w:t>
      </w:r>
      <w:r w:rsidRPr="008270BA">
        <w:rPr>
          <w:w w:val="90"/>
        </w:rPr>
        <w:t>. Estos datos se usan para comparar las diversas cepas del virus entre sí e identificar grupos de personas con VIH que tienen cepas similares del virus. Existen preocupaciones comunitarias acerca del uso de MHS. El PDPH ha trabajado con el Departamento Legal de la Ciudad para abordar los temas legales relacionados con la MHS y ha trabajado para informar a la comunidad sobre la MHS y obtener la opinión sobre la implementación a través de presentaciones comunitarias al Foro del Director ejecutivo de AACO, la Junta de Asesoría Comunitaria CFAR Penn, el Consejo de Planificación de HIV Integrada y un taller en la Cumbre de Prevención de VIH en Filadelfia FIGHT.</w:t>
      </w:r>
    </w:p>
    <w:p w14:paraId="734FD624" w14:textId="77777777" w:rsidR="00A36BA5" w:rsidRPr="008270BA" w:rsidRDefault="00A36BA5">
      <w:pPr>
        <w:pStyle w:val="BodyText"/>
        <w:spacing w:before="1"/>
        <w:rPr>
          <w:w w:val="90"/>
          <w:sz w:val="27"/>
        </w:rPr>
      </w:pPr>
    </w:p>
    <w:p w14:paraId="58D70A67" w14:textId="77777777" w:rsidR="00A36BA5" w:rsidRPr="008270BA" w:rsidRDefault="008270BA">
      <w:pPr>
        <w:pStyle w:val="BodyText"/>
        <w:spacing w:line="254" w:lineRule="auto"/>
        <w:ind w:left="380" w:right="552"/>
        <w:rPr>
          <w:w w:val="90"/>
        </w:rPr>
      </w:pPr>
      <w:r w:rsidRPr="008270BA">
        <w:rPr>
          <w:b/>
          <w:w w:val="90"/>
        </w:rPr>
        <w:t xml:space="preserve">Demostración de Vigilancia </w:t>
      </w:r>
      <w:proofErr w:type="spellStart"/>
      <w:r w:rsidRPr="008270BA">
        <w:rPr>
          <w:b/>
          <w:w w:val="90"/>
        </w:rPr>
        <w:t>Intervencional</w:t>
      </w:r>
      <w:proofErr w:type="spellEnd"/>
      <w:r w:rsidRPr="008270BA">
        <w:rPr>
          <w:b/>
          <w:w w:val="90"/>
        </w:rPr>
        <w:t xml:space="preserve"> Expandida (</w:t>
      </w:r>
      <w:proofErr w:type="spellStart"/>
      <w:r w:rsidRPr="008270BA">
        <w:rPr>
          <w:b/>
          <w:w w:val="90"/>
        </w:rPr>
        <w:t>Demonstrating</w:t>
      </w:r>
      <w:proofErr w:type="spellEnd"/>
      <w:r w:rsidRPr="008270BA">
        <w:rPr>
          <w:b/>
          <w:w w:val="90"/>
        </w:rPr>
        <w:t xml:space="preserve"> </w:t>
      </w:r>
      <w:proofErr w:type="spellStart"/>
      <w:r w:rsidRPr="008270BA">
        <w:rPr>
          <w:b/>
          <w:w w:val="90"/>
        </w:rPr>
        <w:t>Expanded</w:t>
      </w:r>
      <w:proofErr w:type="spellEnd"/>
      <w:r w:rsidRPr="008270BA">
        <w:rPr>
          <w:b/>
          <w:w w:val="90"/>
        </w:rPr>
        <w:t xml:space="preserve"> </w:t>
      </w:r>
      <w:proofErr w:type="spellStart"/>
      <w:r w:rsidRPr="008270BA">
        <w:rPr>
          <w:b/>
          <w:w w:val="90"/>
        </w:rPr>
        <w:lastRenderedPageBreak/>
        <w:t>Interventional</w:t>
      </w:r>
      <w:proofErr w:type="spellEnd"/>
      <w:r w:rsidRPr="008270BA">
        <w:rPr>
          <w:b/>
          <w:w w:val="90"/>
        </w:rPr>
        <w:t xml:space="preserve"> </w:t>
      </w:r>
      <w:proofErr w:type="spellStart"/>
      <w:r w:rsidRPr="008270BA">
        <w:rPr>
          <w:b/>
          <w:w w:val="90"/>
        </w:rPr>
        <w:t>Surveillance</w:t>
      </w:r>
      <w:proofErr w:type="spellEnd"/>
      <w:r w:rsidRPr="008270BA">
        <w:rPr>
          <w:b/>
          <w:w w:val="90"/>
        </w:rPr>
        <w:t xml:space="preserve">, </w:t>
      </w:r>
      <w:proofErr w:type="spellStart"/>
      <w:r w:rsidRPr="008270BA">
        <w:rPr>
          <w:b/>
          <w:w w:val="90"/>
        </w:rPr>
        <w:t>DExIS</w:t>
      </w:r>
      <w:proofErr w:type="spellEnd"/>
      <w:r w:rsidRPr="008270BA">
        <w:rPr>
          <w:b/>
          <w:w w:val="90"/>
        </w:rPr>
        <w:t xml:space="preserve">) </w:t>
      </w:r>
      <w:r w:rsidRPr="008270BA">
        <w:rPr>
          <w:w w:val="90"/>
        </w:rPr>
        <w:t xml:space="preserve">es un proyecto de demostración de múltiples años del CDC lanzado en 2018 para identificar las oportunidades perdidas para prevención de VIH en Filadelfia usando intervenciones individuales, sistémicas y a nivel comunitario. El proyecto identifica y analiza una cohorte de casos centinela (definidos ya sea como infección aguda por VIH o un diagnóstico de VIH dentro de los seis meses de una prueba anterior de VIH negativa). Este proceso descubre las oportunidades perdidas en el Continuidad de Atención del VIH y brinda Servicios de Socios a las personas en la cohorte. Para tratar brechas a nivel sistema en la prevención del VIH, se recolecta información en entrevistas confidenciales, resúmenes de historias clínicas y datos de programa de VIH. Las poblaciones prioritarias de </w:t>
      </w:r>
      <w:proofErr w:type="spellStart"/>
      <w:r w:rsidRPr="008270BA">
        <w:rPr>
          <w:w w:val="90"/>
        </w:rPr>
        <w:t>DExIS</w:t>
      </w:r>
      <w:proofErr w:type="spellEnd"/>
      <w:r w:rsidRPr="008270BA">
        <w:rPr>
          <w:w w:val="90"/>
        </w:rPr>
        <w:t xml:space="preserve"> son MSM, jóvenes de entre 13 y 24 años y personas transgénero que tienen sexo con hombres.</w:t>
      </w:r>
    </w:p>
    <w:p w14:paraId="4CB6FDD7" w14:textId="77777777" w:rsidR="00A36BA5" w:rsidRPr="008270BA" w:rsidRDefault="00A36BA5">
      <w:pPr>
        <w:pStyle w:val="BodyText"/>
        <w:spacing w:before="10"/>
        <w:rPr>
          <w:w w:val="90"/>
          <w:sz w:val="30"/>
        </w:rPr>
      </w:pPr>
    </w:p>
    <w:p w14:paraId="2334F494" w14:textId="77777777" w:rsidR="00A36BA5" w:rsidRPr="008270BA" w:rsidRDefault="008270BA">
      <w:pPr>
        <w:pStyle w:val="BodyText"/>
        <w:ind w:left="380"/>
        <w:rPr>
          <w:w w:val="90"/>
        </w:rPr>
      </w:pPr>
      <w:r w:rsidRPr="008270BA">
        <w:rPr>
          <w:w w:val="90"/>
        </w:rPr>
        <w:t>Brechas identificadas:</w:t>
      </w:r>
    </w:p>
    <w:p w14:paraId="41979294" w14:textId="77777777" w:rsidR="00A36BA5" w:rsidRPr="008270BA" w:rsidRDefault="008270BA">
      <w:pPr>
        <w:pStyle w:val="BodyText"/>
        <w:spacing w:before="4" w:line="242" w:lineRule="auto"/>
        <w:ind w:left="1100" w:hanging="360"/>
        <w:rPr>
          <w:w w:val="90"/>
        </w:rPr>
      </w:pPr>
      <w:r w:rsidRPr="008270BA">
        <w:rPr>
          <w:w w:val="90"/>
        </w:rPr>
        <w:t>1. Preocupaciones comunitarias relativas a la seguridad de los datos y privacidad, y desconfianza médica amenazan las iniciativas de MHS en progreso.</w:t>
      </w:r>
    </w:p>
    <w:p w14:paraId="6EDF162C" w14:textId="77777777" w:rsidR="00A36BA5" w:rsidRPr="008270BA" w:rsidRDefault="00A36BA5">
      <w:pPr>
        <w:spacing w:line="242" w:lineRule="auto"/>
        <w:rPr>
          <w:w w:val="90"/>
        </w:rPr>
        <w:sectPr w:rsidR="00A36BA5" w:rsidRPr="008270BA">
          <w:pgSz w:w="12240" w:h="15840"/>
          <w:pgMar w:top="1240" w:right="980" w:bottom="1240" w:left="1060" w:header="731" w:footer="917" w:gutter="0"/>
          <w:cols w:space="720"/>
        </w:sectPr>
      </w:pPr>
    </w:p>
    <w:p w14:paraId="7F629117" w14:textId="77777777" w:rsidR="00A36BA5" w:rsidRPr="008270BA" w:rsidRDefault="00A36BA5">
      <w:pPr>
        <w:pStyle w:val="BodyText"/>
        <w:spacing w:before="8"/>
        <w:rPr>
          <w:w w:val="90"/>
          <w:sz w:val="16"/>
        </w:rPr>
      </w:pPr>
    </w:p>
    <w:p w14:paraId="036509FC" w14:textId="77777777" w:rsidR="00A36BA5" w:rsidRPr="008270BA" w:rsidRDefault="008270BA">
      <w:pPr>
        <w:pStyle w:val="Heading1"/>
        <w:spacing w:before="105"/>
        <w:ind w:right="731"/>
        <w:rPr>
          <w:w w:val="90"/>
        </w:rPr>
      </w:pPr>
      <w:bookmarkStart w:id="12" w:name="_TOC_250012"/>
      <w:r w:rsidRPr="008270BA">
        <w:rPr>
          <w:w w:val="90"/>
        </w:rPr>
        <w:t>Plan de Filadelfia para poner fin a la epidemia de VIH</w:t>
      </w:r>
      <w:bookmarkEnd w:id="12"/>
    </w:p>
    <w:p w14:paraId="563CA7F1" w14:textId="77777777" w:rsidR="00A36BA5" w:rsidRPr="008270BA" w:rsidRDefault="00A36BA5">
      <w:pPr>
        <w:pStyle w:val="BodyText"/>
        <w:rPr>
          <w:b/>
          <w:w w:val="90"/>
          <w:sz w:val="38"/>
        </w:rPr>
      </w:pPr>
    </w:p>
    <w:p w14:paraId="7003A682" w14:textId="77777777" w:rsidR="00A36BA5" w:rsidRPr="008270BA" w:rsidRDefault="008270BA">
      <w:pPr>
        <w:pStyle w:val="Heading2"/>
        <w:spacing w:before="1"/>
        <w:ind w:right="723"/>
        <w:rPr>
          <w:w w:val="90"/>
        </w:rPr>
      </w:pPr>
      <w:bookmarkStart w:id="13" w:name="_TOC_250011"/>
      <w:r w:rsidRPr="008270BA">
        <w:rPr>
          <w:w w:val="90"/>
        </w:rPr>
        <w:t xml:space="preserve">Principios </w:t>
      </w:r>
      <w:bookmarkEnd w:id="13"/>
      <w:r w:rsidRPr="008270BA">
        <w:rPr>
          <w:w w:val="90"/>
        </w:rPr>
        <w:t>Guía</w:t>
      </w:r>
    </w:p>
    <w:p w14:paraId="5717C0E3" w14:textId="77777777" w:rsidR="00A36BA5" w:rsidRPr="008270BA" w:rsidRDefault="00A36BA5">
      <w:pPr>
        <w:pStyle w:val="BodyText"/>
        <w:spacing w:before="9"/>
        <w:rPr>
          <w:w w:val="90"/>
          <w:sz w:val="44"/>
        </w:rPr>
      </w:pPr>
    </w:p>
    <w:p w14:paraId="454FA173" w14:textId="77777777" w:rsidR="00A36BA5" w:rsidRPr="008270BA" w:rsidRDefault="008270BA">
      <w:pPr>
        <w:pStyle w:val="Heading3"/>
        <w:ind w:left="1453" w:right="1527"/>
        <w:jc w:val="center"/>
        <w:rPr>
          <w:w w:val="90"/>
        </w:rPr>
      </w:pPr>
      <w:r w:rsidRPr="008270BA">
        <w:rPr>
          <w:color w:val="0E101A"/>
          <w:w w:val="90"/>
        </w:rPr>
        <w:t>Implementar el Plan de Filadelfia para poner fin a la epidemia de VIH</w:t>
      </w:r>
    </w:p>
    <w:p w14:paraId="1AF1A294" w14:textId="77777777" w:rsidR="00A36BA5" w:rsidRPr="008270BA" w:rsidRDefault="008270BA">
      <w:pPr>
        <w:pStyle w:val="BodyText"/>
        <w:spacing w:before="204" w:line="261" w:lineRule="auto"/>
        <w:ind w:left="380" w:right="342"/>
        <w:rPr>
          <w:w w:val="90"/>
        </w:rPr>
      </w:pPr>
      <w:r w:rsidRPr="008270BA">
        <w:rPr>
          <w:color w:val="0E101A"/>
          <w:w w:val="90"/>
        </w:rPr>
        <w:t>Al momento de la finalización del primer Plan de Filadelfia para poner fin a la epidemia de VIH en octubre de 2020, el trabajo para implementarlo comienza oficialmente.</w:t>
      </w:r>
    </w:p>
    <w:p w14:paraId="42F6CD86" w14:textId="77777777" w:rsidR="00A36BA5" w:rsidRPr="008270BA" w:rsidRDefault="008270BA">
      <w:pPr>
        <w:pStyle w:val="BodyText"/>
        <w:spacing w:before="139" w:line="261" w:lineRule="auto"/>
        <w:ind w:left="380" w:right="606"/>
        <w:rPr>
          <w:w w:val="90"/>
        </w:rPr>
      </w:pPr>
      <w:r w:rsidRPr="008270BA">
        <w:rPr>
          <w:color w:val="0E101A"/>
          <w:w w:val="90"/>
        </w:rPr>
        <w:t>Si bien las estrategias basadas en la evidencia del plan difieren, todas tienen la intención de llevarse a cabo siguiendo los siguientes principios guía para su implementación que emergieron durante el proceso de planeamiento EHE basado en la comunidad de un año de duración.</w:t>
      </w:r>
    </w:p>
    <w:p w14:paraId="11376BA5" w14:textId="77777777" w:rsidR="00A36BA5" w:rsidRPr="00B2692E" w:rsidRDefault="008270BA">
      <w:pPr>
        <w:pStyle w:val="Heading3"/>
        <w:spacing w:before="137"/>
        <w:rPr>
          <w:w w:val="85"/>
        </w:rPr>
      </w:pPr>
      <w:r w:rsidRPr="00B2692E">
        <w:rPr>
          <w:color w:val="0E101A"/>
          <w:w w:val="85"/>
        </w:rPr>
        <w:t>La salud es un derecho humano fundamental.</w:t>
      </w:r>
    </w:p>
    <w:p w14:paraId="162943E1" w14:textId="77777777" w:rsidR="00A36BA5" w:rsidRPr="008270BA" w:rsidRDefault="008270BA">
      <w:pPr>
        <w:pStyle w:val="BodyText"/>
        <w:spacing w:before="184" w:line="252" w:lineRule="auto"/>
        <w:ind w:left="380" w:right="616"/>
        <w:rPr>
          <w:w w:val="90"/>
        </w:rPr>
      </w:pPr>
      <w:r w:rsidRPr="008270BA">
        <w:rPr>
          <w:color w:val="0E101A"/>
          <w:w w:val="90"/>
        </w:rPr>
        <w:t>El disfrute del estándar más alto posible de salud es uno de los derechos fundamentales de todos los seres humanos sin distinción de raza, edad, género, preferencia sexual, estado de salud, condición económica o social.</w:t>
      </w:r>
    </w:p>
    <w:p w14:paraId="481DC549" w14:textId="77777777" w:rsidR="00A36BA5" w:rsidRPr="00B2692E" w:rsidRDefault="008270BA">
      <w:pPr>
        <w:pStyle w:val="Heading3"/>
        <w:spacing w:before="171"/>
        <w:rPr>
          <w:w w:val="85"/>
        </w:rPr>
      </w:pPr>
      <w:r w:rsidRPr="00B2692E">
        <w:rPr>
          <w:color w:val="0E101A"/>
          <w:w w:val="85"/>
        </w:rPr>
        <w:t>Una vivienda estable y otras necesidades básicas son necesarias para una buena salud.</w:t>
      </w:r>
    </w:p>
    <w:p w14:paraId="3926645A" w14:textId="77777777" w:rsidR="00A36BA5" w:rsidRPr="008270BA" w:rsidRDefault="008270BA">
      <w:pPr>
        <w:pStyle w:val="BodyText"/>
        <w:spacing w:before="164" w:line="261" w:lineRule="auto"/>
        <w:ind w:left="380" w:right="1138"/>
        <w:rPr>
          <w:w w:val="90"/>
        </w:rPr>
      </w:pPr>
      <w:r w:rsidRPr="008270BA">
        <w:rPr>
          <w:color w:val="0E101A"/>
          <w:w w:val="90"/>
        </w:rPr>
        <w:t>Más allá de la salud, deben satisfacerse otras necesidades básicas incluyendo vivienda segura y protegida, alimentos nutritivos, educación y condiciones de trabajo seguras.</w:t>
      </w:r>
    </w:p>
    <w:p w14:paraId="10E49A94" w14:textId="77777777" w:rsidR="00A36BA5" w:rsidRPr="00B2692E" w:rsidRDefault="008270BA">
      <w:pPr>
        <w:pStyle w:val="Heading3"/>
        <w:spacing w:before="158"/>
        <w:rPr>
          <w:w w:val="85"/>
        </w:rPr>
      </w:pPr>
      <w:r w:rsidRPr="00B2692E">
        <w:rPr>
          <w:color w:val="0E101A"/>
          <w:w w:val="85"/>
        </w:rPr>
        <w:t xml:space="preserve">Los servicios de salud deben estar disponibles, ser accesibles y asequibles. </w:t>
      </w:r>
    </w:p>
    <w:p w14:paraId="2D0AD6FD" w14:textId="77777777" w:rsidR="00A36BA5" w:rsidRPr="008270BA" w:rsidRDefault="008270BA">
      <w:pPr>
        <w:pStyle w:val="BodyText"/>
        <w:spacing w:before="164" w:line="261" w:lineRule="auto"/>
        <w:ind w:left="380" w:right="460"/>
        <w:rPr>
          <w:w w:val="90"/>
        </w:rPr>
      </w:pPr>
      <w:r w:rsidRPr="008270BA">
        <w:rPr>
          <w:color w:val="0E101A"/>
          <w:w w:val="90"/>
        </w:rPr>
        <w:t>El derecho a la salud para todas las personas significa que todos deben tener acceso a los servicios de salud que necesitan, cuándo y dónde los necesitan, sin sufrir dificultades financieras. Nadie debería enfermarse y morir porque es pobre, o porque no puede acceder a los servicios de salud que necesitan.</w:t>
      </w:r>
    </w:p>
    <w:p w14:paraId="13E67CBB" w14:textId="77777777" w:rsidR="00A36BA5" w:rsidRPr="00B2692E" w:rsidRDefault="008270BA">
      <w:pPr>
        <w:pStyle w:val="Heading3"/>
        <w:spacing w:before="137"/>
        <w:rPr>
          <w:w w:val="85"/>
        </w:rPr>
      </w:pPr>
      <w:r w:rsidRPr="00B2692E">
        <w:rPr>
          <w:color w:val="0E101A"/>
          <w:w w:val="85"/>
        </w:rPr>
        <w:t>El servicio centrado en la persona es la materialización de los derechos humanos en la práctica de la atención.</w:t>
      </w:r>
    </w:p>
    <w:p w14:paraId="0C4BDD17" w14:textId="77777777" w:rsidR="00A36BA5" w:rsidRPr="008270BA" w:rsidRDefault="008270BA">
      <w:pPr>
        <w:pStyle w:val="BodyText"/>
        <w:spacing w:before="184" w:line="252" w:lineRule="auto"/>
        <w:ind w:left="380" w:right="128"/>
        <w:rPr>
          <w:w w:val="90"/>
        </w:rPr>
      </w:pPr>
      <w:r w:rsidRPr="008270BA">
        <w:rPr>
          <w:color w:val="0E101A"/>
          <w:w w:val="90"/>
        </w:rPr>
        <w:t>El derecho a la salud también significa que todos deberían tener derecho a controlar su propia salud y cuerpo sin estigmas ni discriminación. La atención centrada en la persona protege el derecho universal a la privacidad y trata a todos con respeto y dignidad. Cuando las personas participan de manera activa en su propia atención, cuando los derechos humanos se respetan, los resultados son mejores y los sistemas de salud son más eficientes.</w:t>
      </w:r>
    </w:p>
    <w:p w14:paraId="556D75F3" w14:textId="77777777" w:rsidR="00A36BA5" w:rsidRPr="008270BA" w:rsidRDefault="00A36BA5">
      <w:pPr>
        <w:pStyle w:val="BodyText"/>
        <w:rPr>
          <w:w w:val="90"/>
          <w:sz w:val="20"/>
        </w:rPr>
      </w:pPr>
    </w:p>
    <w:p w14:paraId="6352C6C3" w14:textId="77777777" w:rsidR="00A36BA5" w:rsidRPr="008270BA" w:rsidRDefault="00A36BA5">
      <w:pPr>
        <w:pStyle w:val="BodyText"/>
        <w:rPr>
          <w:w w:val="90"/>
          <w:sz w:val="20"/>
        </w:rPr>
      </w:pPr>
    </w:p>
    <w:p w14:paraId="79A01EB9" w14:textId="77777777" w:rsidR="00A36BA5" w:rsidRPr="008270BA" w:rsidRDefault="00A36BA5">
      <w:pPr>
        <w:pStyle w:val="BodyText"/>
        <w:rPr>
          <w:w w:val="90"/>
          <w:sz w:val="20"/>
        </w:rPr>
      </w:pPr>
    </w:p>
    <w:p w14:paraId="0EC79107" w14:textId="77777777" w:rsidR="00A36BA5" w:rsidRPr="008270BA" w:rsidRDefault="00A36BA5">
      <w:pPr>
        <w:pStyle w:val="BodyText"/>
        <w:rPr>
          <w:w w:val="90"/>
          <w:sz w:val="20"/>
        </w:rPr>
      </w:pPr>
    </w:p>
    <w:p w14:paraId="191369B9" w14:textId="77777777" w:rsidR="00A36BA5" w:rsidRPr="008270BA" w:rsidRDefault="00A36BA5">
      <w:pPr>
        <w:pStyle w:val="BodyText"/>
        <w:rPr>
          <w:w w:val="90"/>
          <w:sz w:val="20"/>
        </w:rPr>
      </w:pPr>
    </w:p>
    <w:p w14:paraId="18CBB02E" w14:textId="77777777" w:rsidR="00A36BA5" w:rsidRPr="008270BA" w:rsidRDefault="00A36BA5">
      <w:pPr>
        <w:pStyle w:val="BodyText"/>
        <w:rPr>
          <w:w w:val="90"/>
          <w:sz w:val="20"/>
        </w:rPr>
      </w:pPr>
    </w:p>
    <w:p w14:paraId="5932A39C" w14:textId="77777777" w:rsidR="00A36BA5" w:rsidRPr="008270BA" w:rsidRDefault="00A36BA5">
      <w:pPr>
        <w:pStyle w:val="BodyText"/>
        <w:rPr>
          <w:w w:val="90"/>
          <w:sz w:val="20"/>
        </w:rPr>
      </w:pPr>
    </w:p>
    <w:p w14:paraId="06BB7BC8" w14:textId="77777777" w:rsidR="00A36BA5" w:rsidRPr="008270BA" w:rsidRDefault="00A36BA5">
      <w:pPr>
        <w:pStyle w:val="BodyText"/>
        <w:rPr>
          <w:w w:val="90"/>
          <w:sz w:val="20"/>
        </w:rPr>
      </w:pPr>
    </w:p>
    <w:p w14:paraId="61884E8B" w14:textId="77777777" w:rsidR="00A36BA5" w:rsidRPr="008270BA" w:rsidRDefault="00A36BA5">
      <w:pPr>
        <w:pStyle w:val="BodyText"/>
        <w:rPr>
          <w:w w:val="90"/>
          <w:sz w:val="20"/>
        </w:rPr>
      </w:pPr>
    </w:p>
    <w:p w14:paraId="453A0EC0" w14:textId="61541DFD" w:rsidR="00A36BA5" w:rsidRPr="008270BA" w:rsidRDefault="00A36BA5">
      <w:pPr>
        <w:pStyle w:val="BodyText"/>
        <w:rPr>
          <w:w w:val="90"/>
          <w:sz w:val="20"/>
        </w:rPr>
      </w:pPr>
    </w:p>
    <w:p w14:paraId="5F54B6F0" w14:textId="77777777" w:rsidR="00A36BA5" w:rsidRPr="008270BA" w:rsidRDefault="00A36BA5">
      <w:pPr>
        <w:pStyle w:val="BodyText"/>
        <w:rPr>
          <w:w w:val="90"/>
          <w:sz w:val="20"/>
        </w:rPr>
      </w:pPr>
    </w:p>
    <w:p w14:paraId="4FFAF133" w14:textId="77777777" w:rsidR="00A36BA5" w:rsidRPr="008270BA" w:rsidRDefault="00A36BA5">
      <w:pPr>
        <w:pStyle w:val="BodyText"/>
        <w:rPr>
          <w:w w:val="90"/>
          <w:sz w:val="20"/>
        </w:rPr>
      </w:pPr>
    </w:p>
    <w:p w14:paraId="69040D76" w14:textId="77777777" w:rsidR="00A36BA5" w:rsidRPr="008270BA" w:rsidRDefault="00A36BA5">
      <w:pPr>
        <w:pStyle w:val="BodyText"/>
        <w:rPr>
          <w:w w:val="90"/>
          <w:sz w:val="18"/>
        </w:rPr>
      </w:pPr>
    </w:p>
    <w:p w14:paraId="5B856333" w14:textId="7A6F9E7E" w:rsidR="00A36BA5" w:rsidRPr="008270BA" w:rsidRDefault="008270BA">
      <w:pPr>
        <w:spacing w:before="103"/>
        <w:ind w:right="455"/>
        <w:jc w:val="right"/>
        <w:rPr>
          <w:w w:val="90"/>
        </w:rPr>
      </w:pPr>
      <w:r w:rsidRPr="008270BA">
        <w:rPr>
          <w:w w:val="90"/>
        </w:rPr>
        <w:t>2</w:t>
      </w:r>
      <w:r w:rsidR="00C12E1A">
        <w:rPr>
          <w:w w:val="90"/>
        </w:rPr>
        <w:t>3</w:t>
      </w:r>
    </w:p>
    <w:p w14:paraId="273B749E" w14:textId="77777777" w:rsidR="00A36BA5" w:rsidRPr="008270BA" w:rsidRDefault="00A36BA5">
      <w:pPr>
        <w:jc w:val="right"/>
        <w:rPr>
          <w:w w:val="90"/>
        </w:rPr>
        <w:sectPr w:rsidR="00A36BA5" w:rsidRPr="008270BA">
          <w:headerReference w:type="default" r:id="rId16"/>
          <w:footerReference w:type="default" r:id="rId17"/>
          <w:pgSz w:w="12240" w:h="15840"/>
          <w:pgMar w:top="1240" w:right="980" w:bottom="280" w:left="1060" w:header="731" w:footer="0" w:gutter="0"/>
          <w:cols w:space="720"/>
        </w:sectPr>
      </w:pPr>
    </w:p>
    <w:p w14:paraId="2EF5AA1D" w14:textId="77777777" w:rsidR="00A36BA5" w:rsidRPr="008270BA" w:rsidRDefault="008270BA">
      <w:pPr>
        <w:pStyle w:val="Heading2"/>
        <w:ind w:right="645"/>
        <w:rPr>
          <w:w w:val="90"/>
        </w:rPr>
      </w:pPr>
      <w:bookmarkStart w:id="14" w:name="_TOC_250010"/>
      <w:r w:rsidRPr="008270BA">
        <w:rPr>
          <w:w w:val="90"/>
        </w:rPr>
        <w:lastRenderedPageBreak/>
        <w:t xml:space="preserve">Pilar cero: El pilar que apoya todas las demás </w:t>
      </w:r>
      <w:bookmarkEnd w:id="14"/>
      <w:r w:rsidRPr="008270BA">
        <w:rPr>
          <w:w w:val="90"/>
        </w:rPr>
        <w:t>iniciativas</w:t>
      </w:r>
    </w:p>
    <w:p w14:paraId="218BF6C6" w14:textId="77777777" w:rsidR="00A36BA5" w:rsidRPr="008270BA" w:rsidRDefault="00A36BA5">
      <w:pPr>
        <w:pStyle w:val="BodyText"/>
        <w:spacing w:before="7"/>
        <w:rPr>
          <w:w w:val="90"/>
          <w:sz w:val="32"/>
        </w:rPr>
      </w:pPr>
    </w:p>
    <w:p w14:paraId="1186D469" w14:textId="77777777" w:rsidR="00A36BA5" w:rsidRPr="008270BA" w:rsidRDefault="008270BA">
      <w:pPr>
        <w:pStyle w:val="BodyText"/>
        <w:spacing w:line="254" w:lineRule="auto"/>
        <w:ind w:left="120" w:right="296"/>
        <w:rPr>
          <w:w w:val="90"/>
        </w:rPr>
      </w:pPr>
      <w:r w:rsidRPr="008270BA">
        <w:rPr>
          <w:color w:val="0E101A"/>
          <w:w w:val="90"/>
        </w:rPr>
        <w:t>En este punto de la epidemia, los trabajadores de salud pública tienen suficiente retroalimentación de los consumidores, participantes e investigación relevante para informarnos qué se necesita para terminar con la epidemia de VIH local. Además, tenemos las herramientas biomédicas que reducirán drásticamente las disparidades y mejorarán los resultados de salud. El éxito de nuestra planificación subsiguiente depende de tener éxito en lo siguiente:</w:t>
      </w:r>
    </w:p>
    <w:p w14:paraId="7C8F88BF" w14:textId="77777777" w:rsidR="00A36BA5" w:rsidRPr="008270BA" w:rsidRDefault="00A36BA5">
      <w:pPr>
        <w:pStyle w:val="BodyText"/>
        <w:spacing w:before="2"/>
        <w:rPr>
          <w:w w:val="90"/>
          <w:sz w:val="25"/>
        </w:rPr>
      </w:pPr>
    </w:p>
    <w:p w14:paraId="297E07F7" w14:textId="77777777" w:rsidR="00A36BA5" w:rsidRPr="008270BA" w:rsidRDefault="008270BA">
      <w:pPr>
        <w:pStyle w:val="ListParagraph"/>
        <w:numPr>
          <w:ilvl w:val="0"/>
          <w:numId w:val="5"/>
        </w:numPr>
        <w:tabs>
          <w:tab w:val="left" w:pos="729"/>
        </w:tabs>
        <w:spacing w:line="256" w:lineRule="auto"/>
        <w:ind w:right="141" w:hanging="360"/>
        <w:rPr>
          <w:w w:val="90"/>
          <w:sz w:val="24"/>
        </w:rPr>
      </w:pPr>
      <w:r w:rsidRPr="008270BA">
        <w:rPr>
          <w:b/>
          <w:color w:val="0E101A"/>
          <w:w w:val="90"/>
          <w:sz w:val="24"/>
          <w:u w:val="single" w:color="0E101A"/>
        </w:rPr>
        <w:t>Brindar servicio al cliente radical en todos los niveles</w:t>
      </w:r>
      <w:r w:rsidRPr="008270BA">
        <w:rPr>
          <w:color w:val="0E101A"/>
          <w:w w:val="90"/>
          <w:sz w:val="24"/>
        </w:rPr>
        <w:t>; Crear relaciones significativas con aquellos a los que servicios y disminuir los obstáculos para participar en servicios de prevención y tratamiento. Ya sea una interacción del PDPH con organizaciones subreceptoras o un especialista de vínculo que ofrece prueba de VIH, debemos tener como objetivo brindar servicio al más alto nivel y brindar un servicio al cliente genuino que deje una impresión buena y duradera.</w:t>
      </w:r>
    </w:p>
    <w:p w14:paraId="63045CE1" w14:textId="77777777" w:rsidR="00A36BA5" w:rsidRPr="008270BA" w:rsidRDefault="008270BA">
      <w:pPr>
        <w:pStyle w:val="ListParagraph"/>
        <w:numPr>
          <w:ilvl w:val="0"/>
          <w:numId w:val="5"/>
        </w:numPr>
        <w:tabs>
          <w:tab w:val="left" w:pos="729"/>
        </w:tabs>
        <w:spacing w:before="144" w:line="261" w:lineRule="auto"/>
        <w:ind w:right="174" w:hanging="360"/>
        <w:rPr>
          <w:w w:val="90"/>
          <w:sz w:val="24"/>
        </w:rPr>
      </w:pPr>
      <w:r w:rsidRPr="008270BA">
        <w:rPr>
          <w:b/>
          <w:color w:val="0E101A"/>
          <w:w w:val="90"/>
          <w:sz w:val="24"/>
          <w:u w:val="single" w:color="0E101A"/>
        </w:rPr>
        <w:t>Reducir el estigma del VIH a través de educación, concientización y programas sin prejuicios;</w:t>
      </w:r>
      <w:r w:rsidRPr="008270BA">
        <w:rPr>
          <w:b/>
          <w:color w:val="0E101A"/>
          <w:w w:val="90"/>
          <w:sz w:val="24"/>
        </w:rPr>
        <w:t xml:space="preserve"> </w:t>
      </w:r>
      <w:r w:rsidRPr="008270BA">
        <w:rPr>
          <w:color w:val="0E101A"/>
          <w:w w:val="90"/>
          <w:sz w:val="24"/>
        </w:rPr>
        <w:t>Debemos ir más allá de brindar educación básica sobre VIH y recordar a nuestras comunidades de la humanidad, dignidad y respeto por todas las personas sin importar su orientación sexual, identidad/expresión de género, ingresos, educación o estado de VIH.</w:t>
      </w:r>
    </w:p>
    <w:p w14:paraId="396C0EE3" w14:textId="77777777" w:rsidR="00A36BA5" w:rsidRPr="008270BA" w:rsidRDefault="008270BA">
      <w:pPr>
        <w:pStyle w:val="ListParagraph"/>
        <w:numPr>
          <w:ilvl w:val="0"/>
          <w:numId w:val="5"/>
        </w:numPr>
        <w:tabs>
          <w:tab w:val="left" w:pos="729"/>
        </w:tabs>
        <w:spacing w:before="137" w:line="254" w:lineRule="auto"/>
        <w:ind w:right="501" w:hanging="360"/>
        <w:rPr>
          <w:w w:val="90"/>
          <w:sz w:val="24"/>
        </w:rPr>
      </w:pPr>
      <w:r w:rsidRPr="008270BA">
        <w:rPr>
          <w:b/>
          <w:color w:val="0E101A"/>
          <w:w w:val="90"/>
          <w:sz w:val="24"/>
          <w:u w:val="single" w:color="0E101A"/>
        </w:rPr>
        <w:t>Brindar viviendas seguras y protegidas;</w:t>
      </w:r>
      <w:r w:rsidRPr="008270BA">
        <w:rPr>
          <w:b/>
          <w:color w:val="0E101A"/>
          <w:w w:val="90"/>
          <w:sz w:val="24"/>
        </w:rPr>
        <w:t xml:space="preserve"> </w:t>
      </w:r>
      <w:r w:rsidRPr="008270BA">
        <w:rPr>
          <w:color w:val="0E101A"/>
          <w:w w:val="90"/>
          <w:sz w:val="24"/>
        </w:rPr>
        <w:t>La vivienda, al igual que la atención de la salud, debe ser un derecho. El desafío de la vivienda requerirá socios fuera del Departamento de Salud Pública y en todos los proveedor</w:t>
      </w:r>
      <w:r w:rsidR="00B2692E">
        <w:rPr>
          <w:color w:val="0E101A"/>
          <w:w w:val="90"/>
          <w:sz w:val="24"/>
        </w:rPr>
        <w:t>es</w:t>
      </w:r>
      <w:r w:rsidRPr="008270BA">
        <w:rPr>
          <w:color w:val="0E101A"/>
          <w:w w:val="90"/>
          <w:sz w:val="24"/>
        </w:rPr>
        <w:t xml:space="preserve"> de servicios. Los datos de salud pública sugieren que una vivienda estable reduce las disparidades en la supresión viral y evita que la gente en mayor riesgo adquieran VIH.</w:t>
      </w:r>
    </w:p>
    <w:p w14:paraId="0183EA91" w14:textId="1F96BF1E" w:rsidR="00A36BA5" w:rsidRPr="008270BA" w:rsidRDefault="009D4B53">
      <w:pPr>
        <w:pStyle w:val="ListParagraph"/>
        <w:numPr>
          <w:ilvl w:val="0"/>
          <w:numId w:val="5"/>
        </w:numPr>
        <w:tabs>
          <w:tab w:val="left" w:pos="729"/>
        </w:tabs>
        <w:spacing w:before="170" w:line="254" w:lineRule="auto"/>
        <w:ind w:right="166" w:hanging="360"/>
        <w:rPr>
          <w:w w:val="90"/>
          <w:sz w:val="24"/>
        </w:rPr>
      </w:pPr>
      <w:r>
        <w:rPr>
          <w:noProof/>
        </w:rPr>
        <mc:AlternateContent>
          <mc:Choice Requires="wps">
            <w:drawing>
              <wp:anchor distT="45720" distB="45720" distL="114300" distR="114300" simplePos="0" relativeHeight="487615488" behindDoc="0" locked="0" layoutInCell="1" allowOverlap="1" wp14:anchorId="042F2918" wp14:editId="2C64517C">
                <wp:simplePos x="0" y="0"/>
                <wp:positionH relativeFrom="column">
                  <wp:posOffset>6075680</wp:posOffset>
                </wp:positionH>
                <wp:positionV relativeFrom="paragraph">
                  <wp:posOffset>4000500</wp:posOffset>
                </wp:positionV>
                <wp:extent cx="405765" cy="25209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D4346" w14:textId="7EA4D962" w:rsidR="002F0576" w:rsidRPr="002F0576" w:rsidRDefault="002F0576">
                            <w:pPr>
                              <w:rPr>
                                <w:lang w:val="en-US"/>
                              </w:rPr>
                            </w:pPr>
                            <w:r>
                              <w:t>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2F2918" id="Text Box 2" o:spid="_x0000_s1044" type="#_x0000_t202" style="position:absolute;left:0;text-align:left;margin-left:478.4pt;margin-top:315pt;width:31.95pt;height:19.85pt;z-index:487615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" stroked="f">
                <v:textbox style="mso-fit-shape-to-text:t">
                  <w:txbxContent>
                    <w:p w14:paraId="4A0D4346" w14:textId="7EA4D962" w:rsidR="002F0576" w:rsidRPr="002F0576" w:rsidRDefault="002F0576">
                      <w:pPr>
                        <w:rPr>
                          <w:lang w:val="en-US"/>
                        </w:rPr>
                      </w:pPr>
                      <w:r>
                        <w:t>24</w:t>
                      </w:r>
                    </w:p>
                  </w:txbxContent>
                </v:textbox>
                <w10:wrap type="square"/>
              </v:shape>
            </w:pict>
          </mc:Fallback>
        </mc:AlternateContent>
      </w:r>
      <w:r w:rsidR="008270BA" w:rsidRPr="008270BA">
        <w:rPr>
          <w:b/>
          <w:color w:val="0E101A"/>
          <w:w w:val="90"/>
          <w:sz w:val="24"/>
          <w:u w:val="single" w:color="0E101A"/>
        </w:rPr>
        <w:t>“Cambiar el guión de salud pública” para tratar un sistema de atención de la salud que no funciona;</w:t>
      </w:r>
      <w:r w:rsidR="008270BA" w:rsidRPr="008270BA">
        <w:rPr>
          <w:b/>
          <w:color w:val="0E101A"/>
          <w:w w:val="90"/>
          <w:sz w:val="24"/>
        </w:rPr>
        <w:t xml:space="preserve"> </w:t>
      </w:r>
      <w:r w:rsidR="008270BA" w:rsidRPr="008270BA">
        <w:rPr>
          <w:color w:val="0E101A"/>
          <w:w w:val="90"/>
          <w:sz w:val="24"/>
        </w:rPr>
        <w:t>No son las personas las que no funcionan. Necesitamos arreglar los sistemas y las estructuras.</w:t>
      </w:r>
      <w:r w:rsidR="008270BA" w:rsidRPr="008270BA">
        <w:rPr>
          <w:b/>
          <w:color w:val="0E101A"/>
          <w:w w:val="90"/>
          <w:sz w:val="24"/>
        </w:rPr>
        <w:t xml:space="preserve"> </w:t>
      </w:r>
      <w:r w:rsidR="008270BA" w:rsidRPr="008270BA">
        <w:rPr>
          <w:color w:val="0E101A"/>
          <w:w w:val="90"/>
          <w:sz w:val="24"/>
        </w:rPr>
        <w:t>La comunidad de proveedores de servicios debe mejorar la manera en que se comunican y entregan los servicios para adaptarse a las necesidades específicas de la población a la que prestan servicios. Debemos adoptar la empatía y enfocarnos en el desafío de brindar servicios accesibles, culturalmente sensibles. Es tiempo de "cambiar el guión de salud pública" y centrarnos en las necesidades de aquellos a los que brindamos servicios.</w:t>
      </w:r>
    </w:p>
    <w:p w14:paraId="3CCA76D2" w14:textId="77777777" w:rsidR="00A36BA5" w:rsidRPr="008270BA" w:rsidRDefault="00A36BA5">
      <w:pPr>
        <w:spacing w:line="254" w:lineRule="auto"/>
        <w:rPr>
          <w:w w:val="90"/>
          <w:sz w:val="24"/>
        </w:rPr>
        <w:sectPr w:rsidR="00A36BA5" w:rsidRPr="008270BA">
          <w:headerReference w:type="default" r:id="rId18"/>
          <w:footerReference w:type="default" r:id="rId19"/>
          <w:pgSz w:w="12240" w:h="15840"/>
          <w:pgMar w:top="1240" w:right="980" w:bottom="1180" w:left="1060" w:header="731" w:footer="997" w:gutter="0"/>
          <w:pgNumType w:start="21"/>
          <w:cols w:space="720"/>
        </w:sectPr>
      </w:pPr>
    </w:p>
    <w:p w14:paraId="3E3D2E55" w14:textId="77777777" w:rsidR="00A36BA5" w:rsidRPr="008270BA" w:rsidRDefault="008270BA">
      <w:pPr>
        <w:pStyle w:val="Heading2"/>
        <w:rPr>
          <w:w w:val="90"/>
        </w:rPr>
      </w:pPr>
      <w:bookmarkStart w:id="15" w:name="_TOC_250009"/>
      <w:r w:rsidRPr="008270BA">
        <w:rPr>
          <w:w w:val="90"/>
        </w:rPr>
        <w:lastRenderedPageBreak/>
        <w:t xml:space="preserve">Pilar 1: </w:t>
      </w:r>
      <w:bookmarkEnd w:id="15"/>
      <w:r w:rsidRPr="008270BA">
        <w:rPr>
          <w:w w:val="90"/>
        </w:rPr>
        <w:t>Diagnosticar</w:t>
      </w:r>
    </w:p>
    <w:p w14:paraId="4C27423A" w14:textId="77777777" w:rsidR="00A36BA5" w:rsidRPr="008270BA" w:rsidRDefault="00A36BA5">
      <w:pPr>
        <w:pStyle w:val="BodyText"/>
        <w:spacing w:before="10"/>
        <w:rPr>
          <w:w w:val="90"/>
          <w:sz w:val="30"/>
        </w:rPr>
      </w:pPr>
    </w:p>
    <w:p w14:paraId="192492A0" w14:textId="77777777" w:rsidR="00A36BA5" w:rsidRPr="008270BA" w:rsidRDefault="008270BA">
      <w:pPr>
        <w:pStyle w:val="Heading4"/>
        <w:spacing w:before="0"/>
        <w:rPr>
          <w:w w:val="90"/>
        </w:rPr>
      </w:pPr>
      <w:r w:rsidRPr="008270BA">
        <w:rPr>
          <w:w w:val="90"/>
        </w:rPr>
        <w:t>Meta 1: Para 2025, el 97% de las personas que viven con VIH sabrán su estado de VIH.</w:t>
      </w:r>
    </w:p>
    <w:p w14:paraId="2B19B8A7" w14:textId="77777777" w:rsidR="00A36BA5" w:rsidRPr="008270BA" w:rsidRDefault="00A36BA5">
      <w:pPr>
        <w:pStyle w:val="BodyText"/>
        <w:spacing w:before="7"/>
        <w:rPr>
          <w:rFonts w:ascii="Arial-BoldItalicMT"/>
          <w:b/>
          <w:i/>
          <w:w w:val="90"/>
        </w:rPr>
      </w:pPr>
    </w:p>
    <w:p w14:paraId="14CD9ECF" w14:textId="77777777" w:rsidR="00A36BA5" w:rsidRPr="008270BA" w:rsidRDefault="008270BA">
      <w:pPr>
        <w:ind w:left="380"/>
        <w:rPr>
          <w:w w:val="90"/>
        </w:rPr>
      </w:pPr>
      <w:r w:rsidRPr="008270BA">
        <w:rPr>
          <w:w w:val="90"/>
        </w:rPr>
        <w:t>Esto incluye (a diciembre 2019):</w:t>
      </w:r>
    </w:p>
    <w:p w14:paraId="2F523142" w14:textId="77777777" w:rsidR="00A36BA5" w:rsidRPr="008270BA" w:rsidRDefault="008270BA">
      <w:pPr>
        <w:pStyle w:val="ListParagraph"/>
        <w:numPr>
          <w:ilvl w:val="1"/>
          <w:numId w:val="5"/>
        </w:numPr>
        <w:tabs>
          <w:tab w:val="left" w:pos="959"/>
        </w:tabs>
        <w:spacing w:before="7"/>
        <w:ind w:hanging="221"/>
        <w:rPr>
          <w:w w:val="90"/>
        </w:rPr>
      </w:pPr>
      <w:r w:rsidRPr="008270BA">
        <w:rPr>
          <w:color w:val="1F1F1E"/>
          <w:w w:val="90"/>
        </w:rPr>
        <w:t>Diagnosticar a los 1,649 de los 1,700 PLWH estimados que no están al tanto de su estado de VIH.</w:t>
      </w:r>
    </w:p>
    <w:p w14:paraId="7F388471" w14:textId="77777777" w:rsidR="00A36BA5" w:rsidRPr="008270BA" w:rsidRDefault="008270BA">
      <w:pPr>
        <w:pStyle w:val="ListParagraph"/>
        <w:numPr>
          <w:ilvl w:val="2"/>
          <w:numId w:val="5"/>
        </w:numPr>
        <w:tabs>
          <w:tab w:val="left" w:pos="1622"/>
        </w:tabs>
        <w:spacing w:before="47"/>
        <w:rPr>
          <w:w w:val="90"/>
        </w:rPr>
      </w:pPr>
      <w:r w:rsidRPr="008270BA">
        <w:rPr>
          <w:color w:val="1F1F1E"/>
          <w:w w:val="90"/>
        </w:rPr>
        <w:t>De los 1,649: 59% son MSM, 31% son heterosexuales, y 8% son PWID.</w:t>
      </w:r>
    </w:p>
    <w:p w14:paraId="363DF097" w14:textId="77777777" w:rsidR="00A36BA5" w:rsidRPr="008270BA" w:rsidRDefault="008270BA">
      <w:pPr>
        <w:pStyle w:val="ListParagraph"/>
        <w:numPr>
          <w:ilvl w:val="2"/>
          <w:numId w:val="5"/>
        </w:numPr>
        <w:tabs>
          <w:tab w:val="left" w:pos="1622"/>
        </w:tabs>
        <w:spacing w:before="148"/>
        <w:rPr>
          <w:w w:val="90"/>
        </w:rPr>
      </w:pPr>
      <w:r w:rsidRPr="008270BA">
        <w:rPr>
          <w:color w:val="1F1F1E"/>
          <w:w w:val="90"/>
        </w:rPr>
        <w:t>18% son jóvenes, de 13 a 24 años (incluye todos los grupos de riesgo).</w:t>
      </w:r>
    </w:p>
    <w:p w14:paraId="0143AF58" w14:textId="77777777" w:rsidR="00A36BA5" w:rsidRPr="008270BA" w:rsidRDefault="008270BA">
      <w:pPr>
        <w:pStyle w:val="ListParagraph"/>
        <w:numPr>
          <w:ilvl w:val="1"/>
          <w:numId w:val="5"/>
        </w:numPr>
        <w:tabs>
          <w:tab w:val="left" w:pos="969"/>
        </w:tabs>
        <w:spacing w:before="8"/>
        <w:ind w:left="968" w:hanging="231"/>
        <w:rPr>
          <w:w w:val="90"/>
        </w:rPr>
      </w:pPr>
      <w:r w:rsidRPr="008270BA">
        <w:rPr>
          <w:color w:val="1F1F1E"/>
          <w:w w:val="90"/>
        </w:rPr>
        <w:t>Diagnosticar a 1,370 personas adicionales que contraerán VIH para 2025.</w:t>
      </w:r>
    </w:p>
    <w:p w14:paraId="1CAA7852" w14:textId="77777777" w:rsidR="00A36BA5" w:rsidRPr="008270BA" w:rsidRDefault="00A36BA5">
      <w:pPr>
        <w:pStyle w:val="BodyText"/>
        <w:spacing w:before="9"/>
        <w:rPr>
          <w:w w:val="90"/>
          <w:sz w:val="26"/>
        </w:rPr>
      </w:pPr>
    </w:p>
    <w:p w14:paraId="52D6A1DA" w14:textId="77777777" w:rsidR="00A36BA5" w:rsidRPr="00B2692E" w:rsidRDefault="008270BA">
      <w:pPr>
        <w:pStyle w:val="Heading3"/>
        <w:spacing w:line="242" w:lineRule="auto"/>
        <w:rPr>
          <w:w w:val="85"/>
        </w:rPr>
      </w:pPr>
      <w:r w:rsidRPr="00B2692E">
        <w:rPr>
          <w:w w:val="85"/>
        </w:rPr>
        <w:t>Estrategia 1.1: Aumentar las pruebas de VIH a través de pruebas biosociales en entornos médicos, incluyendo entornos de atención primaria y de urgencia, departamentos de emergencias y admisión a prisiones.</w:t>
      </w:r>
    </w:p>
    <w:p w14:paraId="0F0C1927" w14:textId="77777777" w:rsidR="00A36BA5" w:rsidRPr="008270BA" w:rsidRDefault="00A36BA5">
      <w:pPr>
        <w:pStyle w:val="BodyText"/>
        <w:spacing w:before="7"/>
        <w:rPr>
          <w:b/>
          <w:w w:val="90"/>
          <w:sz w:val="28"/>
        </w:rPr>
      </w:pPr>
    </w:p>
    <w:p w14:paraId="5E2DAD01" w14:textId="77777777" w:rsidR="00A36BA5" w:rsidRPr="008270BA" w:rsidRDefault="008270BA">
      <w:pPr>
        <w:pStyle w:val="ListParagraph"/>
        <w:numPr>
          <w:ilvl w:val="0"/>
          <w:numId w:val="4"/>
        </w:numPr>
        <w:tabs>
          <w:tab w:val="left" w:pos="903"/>
        </w:tabs>
        <w:spacing w:line="230" w:lineRule="auto"/>
        <w:ind w:right="600" w:hanging="360"/>
        <w:jc w:val="both"/>
        <w:rPr>
          <w:w w:val="90"/>
        </w:rPr>
      </w:pPr>
      <w:r w:rsidRPr="008270BA">
        <w:rPr>
          <w:i/>
          <w:w w:val="90"/>
        </w:rPr>
        <w:t>Actividad 1.1.1</w:t>
      </w:r>
      <w:r w:rsidRPr="008270BA">
        <w:rPr>
          <w:w w:val="90"/>
        </w:rPr>
        <w:t>: Expandir el apoyo para la exclusión de pruebas de VIH como parte de la atención médica de rutina en entornos de atención primaria y de urgencia, departamentos de emergencia y admisiones a prisiones.</w:t>
      </w:r>
    </w:p>
    <w:p w14:paraId="1952F647" w14:textId="77777777" w:rsidR="00A36BA5" w:rsidRPr="008270BA" w:rsidRDefault="008270BA">
      <w:pPr>
        <w:pStyle w:val="ListParagraph"/>
        <w:numPr>
          <w:ilvl w:val="0"/>
          <w:numId w:val="4"/>
        </w:numPr>
        <w:tabs>
          <w:tab w:val="left" w:pos="903"/>
        </w:tabs>
        <w:spacing w:before="29" w:line="237" w:lineRule="auto"/>
        <w:ind w:right="908" w:hanging="360"/>
        <w:jc w:val="both"/>
        <w:rPr>
          <w:w w:val="90"/>
        </w:rPr>
      </w:pPr>
      <w:r w:rsidRPr="008270BA">
        <w:rPr>
          <w:i/>
          <w:w w:val="90"/>
        </w:rPr>
        <w:t>Actividad 1.1.2</w:t>
      </w:r>
      <w:r w:rsidRPr="008270BA">
        <w:rPr>
          <w:w w:val="90"/>
        </w:rPr>
        <w:t>: Enfocar las oportunidades de financiación en mejoras estructurales a los consultorios (cambios en los registros médicos electrónicos, programación de citas, y flujo de consultas para aumentar el acceso a citas médicas, etc.).</w:t>
      </w:r>
    </w:p>
    <w:p w14:paraId="1EBEBF63" w14:textId="77777777" w:rsidR="00A36BA5" w:rsidRPr="008270BA" w:rsidRDefault="008270BA">
      <w:pPr>
        <w:pStyle w:val="ListParagraph"/>
        <w:numPr>
          <w:ilvl w:val="0"/>
          <w:numId w:val="4"/>
        </w:numPr>
        <w:tabs>
          <w:tab w:val="left" w:pos="903"/>
        </w:tabs>
        <w:spacing w:before="56" w:line="230" w:lineRule="auto"/>
        <w:ind w:right="888" w:hanging="360"/>
        <w:jc w:val="both"/>
        <w:rPr>
          <w:w w:val="90"/>
        </w:rPr>
      </w:pPr>
      <w:r w:rsidRPr="008270BA">
        <w:rPr>
          <w:i/>
          <w:w w:val="90"/>
        </w:rPr>
        <w:t>Actividad 1.1.3</w:t>
      </w:r>
      <w:r w:rsidRPr="008270BA">
        <w:rPr>
          <w:w w:val="90"/>
        </w:rPr>
        <w:t>: Requerir participación significativa mediante liderazgo clínico como un requerimiento de cualquier financiación provista a entornos clínicos para implementación de pruebas de rutina de VIH.</w:t>
      </w:r>
    </w:p>
    <w:p w14:paraId="16C0F848" w14:textId="77777777" w:rsidR="00A36BA5" w:rsidRPr="008270BA" w:rsidRDefault="008270BA">
      <w:pPr>
        <w:pStyle w:val="ListParagraph"/>
        <w:numPr>
          <w:ilvl w:val="0"/>
          <w:numId w:val="4"/>
        </w:numPr>
        <w:tabs>
          <w:tab w:val="left" w:pos="903"/>
        </w:tabs>
        <w:spacing w:before="35" w:line="230" w:lineRule="auto"/>
        <w:ind w:right="965" w:hanging="360"/>
        <w:jc w:val="both"/>
        <w:rPr>
          <w:w w:val="90"/>
        </w:rPr>
      </w:pPr>
      <w:r w:rsidRPr="008270BA">
        <w:rPr>
          <w:i/>
          <w:w w:val="90"/>
        </w:rPr>
        <w:t>Actividad 1.1.4</w:t>
      </w:r>
      <w:r w:rsidRPr="008270BA">
        <w:rPr>
          <w:w w:val="90"/>
        </w:rPr>
        <w:t>: Identificar entornos de atención urgente clave para desarrollar capacidad de pruebas de VIH cuando los pacientes buscan tratamientos por ETS/ITS o atención anticonceptiva de emergencia.</w:t>
      </w:r>
    </w:p>
    <w:p w14:paraId="0401A84B" w14:textId="77777777" w:rsidR="00A36BA5" w:rsidRPr="008270BA" w:rsidRDefault="008270BA">
      <w:pPr>
        <w:pStyle w:val="ListParagraph"/>
        <w:numPr>
          <w:ilvl w:val="0"/>
          <w:numId w:val="4"/>
        </w:numPr>
        <w:tabs>
          <w:tab w:val="left" w:pos="903"/>
        </w:tabs>
        <w:spacing w:before="49" w:line="237" w:lineRule="auto"/>
        <w:ind w:right="665" w:hanging="360"/>
        <w:jc w:val="both"/>
        <w:rPr>
          <w:w w:val="90"/>
        </w:rPr>
      </w:pPr>
      <w:r w:rsidRPr="008270BA">
        <w:rPr>
          <w:i/>
          <w:w w:val="90"/>
        </w:rPr>
        <w:t>Actividad 1.1.5</w:t>
      </w:r>
      <w:r w:rsidRPr="008270BA">
        <w:rPr>
          <w:w w:val="90"/>
        </w:rPr>
        <w:t>: Fortalecer las asociaciones para exámenes de rutina en otras ubicaciones clave tales como clínicas de planificación familiar, clínicas de salud sexual, clínicas de tratamiento por abuso de sustancias y Servicios de Salud en la Prisión del Condado de Filadelfia.</w:t>
      </w:r>
    </w:p>
    <w:p w14:paraId="4EA1F952" w14:textId="77777777" w:rsidR="00A36BA5" w:rsidRPr="008270BA" w:rsidRDefault="008270BA">
      <w:pPr>
        <w:pStyle w:val="ListParagraph"/>
        <w:numPr>
          <w:ilvl w:val="0"/>
          <w:numId w:val="4"/>
        </w:numPr>
        <w:tabs>
          <w:tab w:val="left" w:pos="903"/>
        </w:tabs>
        <w:spacing w:before="55" w:line="230" w:lineRule="auto"/>
        <w:ind w:right="1139" w:hanging="360"/>
        <w:jc w:val="both"/>
        <w:rPr>
          <w:w w:val="90"/>
        </w:rPr>
      </w:pPr>
      <w:r w:rsidRPr="008270BA">
        <w:rPr>
          <w:i/>
          <w:w w:val="90"/>
        </w:rPr>
        <w:t>Actividad 1.1.6</w:t>
      </w:r>
      <w:r w:rsidRPr="008270BA">
        <w:rPr>
          <w:w w:val="90"/>
        </w:rPr>
        <w:t>: Brindar asistencia técnica y apoyo por parte del personal del PDPH a consultorios clínicos para evaluar las barreras y desarrollar soluciones para aumentar las pruebas de rutina de VIH.</w:t>
      </w:r>
    </w:p>
    <w:p w14:paraId="36E6A1D8" w14:textId="77777777" w:rsidR="00A36BA5" w:rsidRPr="008270BA" w:rsidRDefault="00A36BA5">
      <w:pPr>
        <w:pStyle w:val="BodyText"/>
        <w:spacing w:before="2"/>
        <w:rPr>
          <w:w w:val="90"/>
          <w:sz w:val="25"/>
        </w:rPr>
      </w:pPr>
    </w:p>
    <w:p w14:paraId="48DBBA41" w14:textId="77777777" w:rsidR="00A36BA5" w:rsidRPr="00B2692E" w:rsidRDefault="008270BA">
      <w:pPr>
        <w:pStyle w:val="Heading3"/>
        <w:rPr>
          <w:w w:val="85"/>
        </w:rPr>
      </w:pPr>
      <w:r w:rsidRPr="00B2692E">
        <w:rPr>
          <w:w w:val="85"/>
        </w:rPr>
        <w:t>Estrategia 1.2: Aumentar el acceso a VIH a través de programas basados en la comunidad.</w:t>
      </w:r>
    </w:p>
    <w:p w14:paraId="308520D6" w14:textId="77777777" w:rsidR="00A36BA5" w:rsidRPr="008270BA" w:rsidRDefault="008270BA">
      <w:pPr>
        <w:pStyle w:val="ListParagraph"/>
        <w:numPr>
          <w:ilvl w:val="0"/>
          <w:numId w:val="4"/>
        </w:numPr>
        <w:tabs>
          <w:tab w:val="left" w:pos="903"/>
        </w:tabs>
        <w:spacing w:before="30" w:line="230" w:lineRule="auto"/>
        <w:ind w:right="850" w:hanging="360"/>
        <w:jc w:val="both"/>
        <w:rPr>
          <w:w w:val="90"/>
        </w:rPr>
      </w:pPr>
      <w:r w:rsidRPr="008270BA">
        <w:rPr>
          <w:i/>
          <w:w w:val="90"/>
        </w:rPr>
        <w:t xml:space="preserve">Actividad 1.2.1: </w:t>
      </w:r>
      <w:r w:rsidRPr="008270BA">
        <w:rPr>
          <w:w w:val="90"/>
        </w:rPr>
        <w:t>Desarrollar una red de clínicas de bienestar sexual de alcance para todos para proporcionar pruebas de VIH, ETS y VHC, PrEP, PEP y conexión a tratamiento del VIH, ETS y VHC.</w:t>
      </w:r>
    </w:p>
    <w:p w14:paraId="7E4987AE" w14:textId="77777777" w:rsidR="00A36BA5" w:rsidRPr="008270BA" w:rsidRDefault="008270BA">
      <w:pPr>
        <w:pStyle w:val="ListParagraph"/>
        <w:numPr>
          <w:ilvl w:val="0"/>
          <w:numId w:val="4"/>
        </w:numPr>
        <w:tabs>
          <w:tab w:val="left" w:pos="903"/>
        </w:tabs>
        <w:spacing w:before="55" w:line="230" w:lineRule="auto"/>
        <w:ind w:right="1124" w:hanging="360"/>
        <w:rPr>
          <w:w w:val="90"/>
        </w:rPr>
      </w:pPr>
      <w:r w:rsidRPr="008270BA">
        <w:rPr>
          <w:i/>
          <w:w w:val="90"/>
        </w:rPr>
        <w:t>Actividad 1.2.2</w:t>
      </w:r>
      <w:r w:rsidRPr="008270BA">
        <w:rPr>
          <w:w w:val="90"/>
        </w:rPr>
        <w:t>: Usar análisis geoespacial (geografía y ubicación) para asegurar que las pruebas basadas en la comunidad están alineadas con la necesidad de la población.</w:t>
      </w:r>
    </w:p>
    <w:p w14:paraId="65E72B86" w14:textId="77777777" w:rsidR="00A36BA5" w:rsidRPr="008270BA" w:rsidRDefault="008270BA">
      <w:pPr>
        <w:pStyle w:val="ListParagraph"/>
        <w:numPr>
          <w:ilvl w:val="0"/>
          <w:numId w:val="4"/>
        </w:numPr>
        <w:tabs>
          <w:tab w:val="left" w:pos="903"/>
        </w:tabs>
        <w:spacing w:before="35" w:line="230" w:lineRule="auto"/>
        <w:ind w:right="1140" w:hanging="360"/>
        <w:rPr>
          <w:w w:val="90"/>
        </w:rPr>
      </w:pPr>
      <w:r w:rsidRPr="008270BA">
        <w:rPr>
          <w:i/>
          <w:w w:val="90"/>
        </w:rPr>
        <w:t>Actividad 1.2.3</w:t>
      </w:r>
      <w:r w:rsidRPr="008270BA">
        <w:rPr>
          <w:w w:val="90"/>
        </w:rPr>
        <w:t>: Explorar la implementación de pruebas de VIH en farmacias que los farmacéuticos ofrezcan y administrar pruebas de VIH a los clientes.</w:t>
      </w:r>
    </w:p>
    <w:p w14:paraId="707DA3B2" w14:textId="77777777" w:rsidR="00A36BA5" w:rsidRPr="008270BA" w:rsidRDefault="008270BA">
      <w:pPr>
        <w:pStyle w:val="ListParagraph"/>
        <w:numPr>
          <w:ilvl w:val="0"/>
          <w:numId w:val="4"/>
        </w:numPr>
        <w:tabs>
          <w:tab w:val="left" w:pos="903"/>
        </w:tabs>
        <w:spacing w:before="36" w:line="230" w:lineRule="auto"/>
        <w:ind w:right="1138" w:hanging="360"/>
        <w:rPr>
          <w:w w:val="90"/>
        </w:rPr>
      </w:pPr>
      <w:r w:rsidRPr="008270BA">
        <w:rPr>
          <w:i/>
          <w:w w:val="90"/>
        </w:rPr>
        <w:t>Actividad 1.2.4</w:t>
      </w:r>
      <w:r w:rsidRPr="008270BA">
        <w:rPr>
          <w:w w:val="90"/>
        </w:rPr>
        <w:t>: Asociarse con proveedores de kits de prueba de VIH en el hogar para explorar enfoques innovadores para aumentar el uso correcto de los kits de prueba de VIH en el hogar.</w:t>
      </w:r>
    </w:p>
    <w:p w14:paraId="1EFDD2B6" w14:textId="5968576A" w:rsidR="00A36BA5" w:rsidRPr="008270BA" w:rsidRDefault="009D4B53">
      <w:pPr>
        <w:pStyle w:val="ListParagraph"/>
        <w:numPr>
          <w:ilvl w:val="0"/>
          <w:numId w:val="4"/>
        </w:numPr>
        <w:tabs>
          <w:tab w:val="left" w:pos="903"/>
        </w:tabs>
        <w:spacing w:before="55" w:line="230" w:lineRule="auto"/>
        <w:ind w:right="814" w:hanging="360"/>
        <w:rPr>
          <w:w w:val="90"/>
        </w:rPr>
      </w:pPr>
      <w:r>
        <w:rPr>
          <w:i/>
          <w:noProof/>
        </w:rPr>
        <mc:AlternateContent>
          <mc:Choice Requires="wps">
            <w:drawing>
              <wp:anchor distT="45720" distB="45720" distL="114300" distR="114300" simplePos="0" relativeHeight="487616512" behindDoc="0" locked="0" layoutInCell="1" allowOverlap="1" wp14:anchorId="042F2918" wp14:editId="31565E31">
                <wp:simplePos x="0" y="0"/>
                <wp:positionH relativeFrom="column">
                  <wp:posOffset>6072505</wp:posOffset>
                </wp:positionH>
                <wp:positionV relativeFrom="paragraph">
                  <wp:posOffset>526415</wp:posOffset>
                </wp:positionV>
                <wp:extent cx="405765" cy="25209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113F4" w14:textId="6201E96A" w:rsidR="002F0576" w:rsidRPr="002F0576" w:rsidRDefault="002F0576" w:rsidP="002F0576">
                            <w:pPr>
                              <w:rPr>
                                <w:lang w:val="en-US"/>
                              </w:rPr>
                            </w:pPr>
                            <w:r>
                              <w:t>25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2F2918" id="_x0000_s1045" type="#_x0000_t202" style="position:absolute;left:0;text-align:left;margin-left:478.15pt;margin-top:41.45pt;width:31.95pt;height:19.85pt;z-index:487616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" stroked="f">
                <v:textbox style="mso-fit-shape-to-text:t">
                  <w:txbxContent>
                    <w:p w14:paraId="461113F4" w14:textId="6201E96A" w:rsidR="002F0576" w:rsidRPr="002F0576" w:rsidRDefault="002F0576" w:rsidP="002F0576">
                      <w:pPr>
                        <w:rPr>
                          <w:lang w:val="en-US"/>
                        </w:rPr>
                      </w:pPr>
                      <w:r>
                        <w:t>25</w:t>
                      </w:r>
                    </w:p>
                  </w:txbxContent>
                </v:textbox>
                <w10:wrap type="square"/>
              </v:shape>
            </w:pict>
          </mc:Fallback>
        </mc:AlternateContent>
      </w:r>
      <w:r w:rsidR="008270BA" w:rsidRPr="008270BA">
        <w:rPr>
          <w:i/>
          <w:w w:val="90"/>
        </w:rPr>
        <w:t>Actividad 1.2.5</w:t>
      </w:r>
      <w:r w:rsidR="008270BA" w:rsidRPr="008270BA">
        <w:rPr>
          <w:w w:val="90"/>
        </w:rPr>
        <w:t>: Ampliar los esfuerzos significativos de participación de la comunidad para promover la prueba de VIH, la PrEP y el tratamiento.</w:t>
      </w:r>
    </w:p>
    <w:p w14:paraId="0A894B17" w14:textId="77777777" w:rsidR="00A36BA5" w:rsidRPr="008270BA" w:rsidRDefault="00A36BA5">
      <w:pPr>
        <w:pStyle w:val="BodyText"/>
        <w:spacing w:before="9"/>
        <w:rPr>
          <w:w w:val="90"/>
          <w:sz w:val="26"/>
        </w:rPr>
      </w:pPr>
    </w:p>
    <w:p w14:paraId="501262F5" w14:textId="77777777" w:rsidR="00A36BA5" w:rsidRPr="00B2692E" w:rsidRDefault="008270BA">
      <w:pPr>
        <w:pStyle w:val="Heading3"/>
        <w:spacing w:before="1"/>
        <w:rPr>
          <w:w w:val="85"/>
        </w:rPr>
      </w:pPr>
      <w:r w:rsidRPr="00B2692E">
        <w:rPr>
          <w:w w:val="85"/>
        </w:rPr>
        <w:t>Estrategia 1.3: Aumentar la frecuencia de las pruebas de VIH entre las poblaciones clave.</w:t>
      </w:r>
    </w:p>
    <w:p w14:paraId="6C6B3448" w14:textId="77777777" w:rsidR="00A36BA5" w:rsidRPr="008270BA" w:rsidRDefault="008270BA">
      <w:pPr>
        <w:pStyle w:val="ListParagraph"/>
        <w:numPr>
          <w:ilvl w:val="0"/>
          <w:numId w:val="4"/>
        </w:numPr>
        <w:tabs>
          <w:tab w:val="left" w:pos="903"/>
        </w:tabs>
        <w:spacing w:before="30" w:line="230" w:lineRule="auto"/>
        <w:ind w:right="804" w:hanging="360"/>
        <w:rPr>
          <w:w w:val="90"/>
        </w:rPr>
      </w:pPr>
      <w:r w:rsidRPr="008270BA">
        <w:rPr>
          <w:i/>
          <w:w w:val="90"/>
        </w:rPr>
        <w:t>Actividad 1.3.1</w:t>
      </w:r>
      <w:r w:rsidRPr="008270BA">
        <w:rPr>
          <w:w w:val="90"/>
        </w:rPr>
        <w:t>: Expandir la capacidad en ubicaciones estratégicas que atienden a poblaciones clave para las pruebas de VIH accesibles, incluso opciones sin turno previo.</w:t>
      </w:r>
    </w:p>
    <w:p w14:paraId="67C1A1D8" w14:textId="77777777" w:rsidR="00A36BA5" w:rsidRPr="008270BA" w:rsidRDefault="008270BA">
      <w:pPr>
        <w:pStyle w:val="ListParagraph"/>
        <w:numPr>
          <w:ilvl w:val="0"/>
          <w:numId w:val="4"/>
        </w:numPr>
        <w:tabs>
          <w:tab w:val="left" w:pos="903"/>
        </w:tabs>
        <w:spacing w:before="220" w:line="230" w:lineRule="auto"/>
        <w:ind w:right="1189" w:hanging="360"/>
        <w:rPr>
          <w:w w:val="90"/>
        </w:rPr>
      </w:pPr>
      <w:r w:rsidRPr="008270BA">
        <w:rPr>
          <w:i/>
          <w:w w:val="90"/>
        </w:rPr>
        <w:t>Actividad 1.3.2</w:t>
      </w:r>
      <w:r w:rsidRPr="008270BA">
        <w:rPr>
          <w:w w:val="90"/>
        </w:rPr>
        <w:t>: Llevar a cabo actividades de promoción de la salud para alentar pruebas de VIH más frecuentes sobre la base de la evaluación de salud.</w:t>
      </w:r>
    </w:p>
    <w:p w14:paraId="0A6AC6B2" w14:textId="77777777" w:rsidR="00A36BA5" w:rsidRPr="008270BA" w:rsidRDefault="008270BA">
      <w:pPr>
        <w:pStyle w:val="ListParagraph"/>
        <w:numPr>
          <w:ilvl w:val="0"/>
          <w:numId w:val="4"/>
        </w:numPr>
        <w:tabs>
          <w:tab w:val="left" w:pos="903"/>
        </w:tabs>
        <w:spacing w:before="35" w:line="230" w:lineRule="auto"/>
        <w:ind w:right="1732" w:hanging="360"/>
        <w:rPr>
          <w:w w:val="90"/>
        </w:rPr>
      </w:pPr>
      <w:r w:rsidRPr="008270BA">
        <w:rPr>
          <w:i/>
          <w:w w:val="90"/>
        </w:rPr>
        <w:t>Actividad 1.3.3</w:t>
      </w:r>
      <w:r w:rsidRPr="008270BA">
        <w:rPr>
          <w:w w:val="90"/>
        </w:rPr>
        <w:t>: Explorar las pruebas de VIH basadas en la escuela a través de la asociación con partes interesadas de la comunidad y grupos de padres.</w:t>
      </w:r>
    </w:p>
    <w:p w14:paraId="3D554B5E" w14:textId="77777777" w:rsidR="00A36BA5" w:rsidRPr="008270BA" w:rsidRDefault="00A36BA5">
      <w:pPr>
        <w:pStyle w:val="BodyText"/>
        <w:spacing w:before="1"/>
        <w:rPr>
          <w:w w:val="90"/>
          <w:sz w:val="32"/>
        </w:rPr>
      </w:pPr>
    </w:p>
    <w:p w14:paraId="0C39318A" w14:textId="77777777" w:rsidR="00A36BA5" w:rsidRPr="00B2692E" w:rsidRDefault="008270BA">
      <w:pPr>
        <w:pStyle w:val="Heading3"/>
        <w:spacing w:line="278" w:lineRule="auto"/>
        <w:ind w:right="342"/>
        <w:rPr>
          <w:w w:val="85"/>
        </w:rPr>
      </w:pPr>
      <w:r w:rsidRPr="00B2692E">
        <w:rPr>
          <w:w w:val="85"/>
        </w:rPr>
        <w:t>Estrategia 1.4: Implementar un enfoque de estado neutral para la conexión con la realineación y expansión del personal clave. Esto incluye una conexión a atención médica de VIH o PrEP.</w:t>
      </w:r>
    </w:p>
    <w:p w14:paraId="092E2D30" w14:textId="77777777" w:rsidR="00A36BA5" w:rsidRPr="008270BA" w:rsidRDefault="008270BA">
      <w:pPr>
        <w:pStyle w:val="ListParagraph"/>
        <w:numPr>
          <w:ilvl w:val="0"/>
          <w:numId w:val="4"/>
        </w:numPr>
        <w:tabs>
          <w:tab w:val="left" w:pos="903"/>
        </w:tabs>
        <w:spacing w:line="247" w:lineRule="auto"/>
        <w:ind w:right="516" w:hanging="360"/>
        <w:rPr>
          <w:w w:val="90"/>
        </w:rPr>
      </w:pPr>
      <w:r w:rsidRPr="008270BA">
        <w:rPr>
          <w:i/>
          <w:w w:val="90"/>
        </w:rPr>
        <w:t>Actividad 1.4.1</w:t>
      </w:r>
      <w:r w:rsidRPr="008270BA">
        <w:rPr>
          <w:w w:val="90"/>
        </w:rPr>
        <w:t>: Apoyar la conexión a atención por parte de la Unidad de Servicios al Cliente centralizada de AACO facilitando citas médicas de VIH para los nuevos casos diagnosticados y personas que no reciben atención. Estas personas serán identificadas a través de un sistema financiado de atención y prevención del VIH y otros centros de diagnóstico (por ej., departamentos de emergencia).</w:t>
      </w:r>
    </w:p>
    <w:p w14:paraId="4B884ACD" w14:textId="77777777" w:rsidR="00A36BA5" w:rsidRPr="008270BA" w:rsidRDefault="008270BA">
      <w:pPr>
        <w:pStyle w:val="ListParagraph"/>
        <w:numPr>
          <w:ilvl w:val="0"/>
          <w:numId w:val="4"/>
        </w:numPr>
        <w:tabs>
          <w:tab w:val="left" w:pos="903"/>
        </w:tabs>
        <w:spacing w:before="19" w:line="237" w:lineRule="auto"/>
        <w:ind w:right="954" w:hanging="360"/>
        <w:jc w:val="both"/>
        <w:rPr>
          <w:w w:val="90"/>
        </w:rPr>
      </w:pPr>
      <w:r w:rsidRPr="008270BA">
        <w:rPr>
          <w:i/>
          <w:w w:val="90"/>
        </w:rPr>
        <w:t>Actividad 1.4.2</w:t>
      </w:r>
      <w:r w:rsidRPr="008270BA">
        <w:rPr>
          <w:w w:val="90"/>
        </w:rPr>
        <w:t>: Establecer una Unidad de Servicios en el Campo de AACO como un recurso de red de seguridad responsable de proporcionar conexión intensiva a servicios de atención para las personas diagnosticadas con VIH en lugares con capacidad limitada para conectar a las personas con atención médica de VIH.</w:t>
      </w:r>
    </w:p>
    <w:p w14:paraId="46AA756F" w14:textId="77777777" w:rsidR="00A36BA5" w:rsidRPr="008270BA" w:rsidRDefault="008270BA">
      <w:pPr>
        <w:pStyle w:val="ListParagraph"/>
        <w:numPr>
          <w:ilvl w:val="0"/>
          <w:numId w:val="4"/>
        </w:numPr>
        <w:tabs>
          <w:tab w:val="left" w:pos="903"/>
        </w:tabs>
        <w:spacing w:before="50" w:line="237" w:lineRule="auto"/>
        <w:ind w:right="896" w:hanging="360"/>
        <w:rPr>
          <w:w w:val="90"/>
        </w:rPr>
      </w:pPr>
      <w:r w:rsidRPr="008270BA">
        <w:rPr>
          <w:i/>
          <w:w w:val="90"/>
        </w:rPr>
        <w:t>Actividad 1.4.3</w:t>
      </w:r>
      <w:r w:rsidRPr="008270BA">
        <w:rPr>
          <w:w w:val="90"/>
        </w:rPr>
        <w:t>: Incentivar la conexión oportuna a PrEP y atención de VIH de los nuevos pacientes a través de asociaciones bidireccionales (entre las pruebas y la atención) como condición de financiación para los servicios de atención médica y prevención del VIH.</w:t>
      </w:r>
    </w:p>
    <w:p w14:paraId="146810CC" w14:textId="77777777" w:rsidR="00A36BA5" w:rsidRPr="008270BA" w:rsidRDefault="008270BA">
      <w:pPr>
        <w:pStyle w:val="ListParagraph"/>
        <w:numPr>
          <w:ilvl w:val="0"/>
          <w:numId w:val="4"/>
        </w:numPr>
        <w:tabs>
          <w:tab w:val="left" w:pos="903"/>
        </w:tabs>
        <w:spacing w:before="55" w:line="230" w:lineRule="auto"/>
        <w:ind w:right="1347" w:hanging="360"/>
        <w:rPr>
          <w:w w:val="90"/>
        </w:rPr>
      </w:pPr>
      <w:r w:rsidRPr="008270BA">
        <w:rPr>
          <w:i/>
          <w:w w:val="90"/>
        </w:rPr>
        <w:t>Actividad 1.4.4</w:t>
      </w:r>
      <w:r w:rsidRPr="008270BA">
        <w:rPr>
          <w:w w:val="90"/>
        </w:rPr>
        <w:t>: Brindar servicios de socios para la notificación de socios después de la posible exposición al VIH/ETS y conectar a las personas a la atención según sea apropiado.</w:t>
      </w:r>
    </w:p>
    <w:p w14:paraId="7759240B" w14:textId="77777777" w:rsidR="00A36BA5" w:rsidRPr="008270BA" w:rsidRDefault="00A36BA5">
      <w:pPr>
        <w:pStyle w:val="BodyText"/>
        <w:rPr>
          <w:w w:val="90"/>
          <w:sz w:val="25"/>
        </w:rPr>
      </w:pPr>
    </w:p>
    <w:p w14:paraId="31C8B435" w14:textId="77777777" w:rsidR="00A36BA5" w:rsidRPr="008270BA" w:rsidRDefault="008270BA">
      <w:pPr>
        <w:spacing w:line="247" w:lineRule="auto"/>
        <w:ind w:left="380" w:right="487"/>
        <w:rPr>
          <w:w w:val="90"/>
        </w:rPr>
      </w:pPr>
      <w:r w:rsidRPr="008270BA">
        <w:rPr>
          <w:b/>
          <w:w w:val="90"/>
        </w:rPr>
        <w:t xml:space="preserve">Socios clave: </w:t>
      </w:r>
      <w:r w:rsidRPr="008270BA">
        <w:rPr>
          <w:w w:val="90"/>
        </w:rPr>
        <w:t>Oficina de Planificación relativa al VIH de Filadelfia, División de Control de Enfermedades de PDPH, proveedores clínicos, centros de atención médica, proveedores basados en la comunidad, Servicios de Salud de la Prisión del Condado de Filadelfia y proveedores de kits de pruebas en el hogar</w:t>
      </w:r>
    </w:p>
    <w:p w14:paraId="7BB6129E" w14:textId="77777777" w:rsidR="00A36BA5" w:rsidRPr="008270BA" w:rsidRDefault="008270BA">
      <w:pPr>
        <w:spacing w:before="19" w:line="256" w:lineRule="auto"/>
        <w:ind w:left="380" w:right="558"/>
        <w:rPr>
          <w:w w:val="90"/>
        </w:rPr>
      </w:pPr>
      <w:r w:rsidRPr="008270BA">
        <w:rPr>
          <w:b/>
          <w:w w:val="90"/>
        </w:rPr>
        <w:t xml:space="preserve">Posibles recursos de financiación: </w:t>
      </w:r>
      <w:r w:rsidRPr="008270BA">
        <w:rPr>
          <w:w w:val="90"/>
        </w:rPr>
        <w:t xml:space="preserve">Acuerdo de Cooperación para la Prevención y Vigilancia del VIH de los CDC, Departamento de Salud de Pensilvania (Pennsylvania </w:t>
      </w:r>
      <w:proofErr w:type="spellStart"/>
      <w:r w:rsidRPr="008270BA">
        <w:rPr>
          <w:w w:val="90"/>
        </w:rPr>
        <w:t>Department</w:t>
      </w:r>
      <w:proofErr w:type="spellEnd"/>
      <w:r w:rsidRPr="008270BA">
        <w:rPr>
          <w:w w:val="90"/>
        </w:rPr>
        <w:t xml:space="preserve"> </w:t>
      </w:r>
      <w:proofErr w:type="spellStart"/>
      <w:r w:rsidRPr="008270BA">
        <w:rPr>
          <w:w w:val="90"/>
        </w:rPr>
        <w:t>of</w:t>
      </w:r>
      <w:proofErr w:type="spellEnd"/>
      <w:r w:rsidRPr="008270BA">
        <w:rPr>
          <w:w w:val="90"/>
        </w:rPr>
        <w:t xml:space="preserve"> </w:t>
      </w:r>
      <w:proofErr w:type="spellStart"/>
      <w:r w:rsidRPr="008270BA">
        <w:rPr>
          <w:w w:val="90"/>
        </w:rPr>
        <w:t>Health</w:t>
      </w:r>
      <w:proofErr w:type="spellEnd"/>
      <w:r w:rsidRPr="008270BA">
        <w:rPr>
          <w:w w:val="90"/>
        </w:rPr>
        <w:t>), Ingresos Generales de la Ciudad de Filadelfia, Medicaid y otras fuentes de financiación públicas y privadas</w:t>
      </w:r>
    </w:p>
    <w:p w14:paraId="12F52E8A" w14:textId="77777777" w:rsidR="00A36BA5" w:rsidRPr="008270BA" w:rsidRDefault="008270BA">
      <w:pPr>
        <w:spacing w:line="266" w:lineRule="auto"/>
        <w:ind w:left="380" w:right="662"/>
        <w:rPr>
          <w:w w:val="90"/>
        </w:rPr>
      </w:pPr>
      <w:r w:rsidRPr="008270BA">
        <w:rPr>
          <w:b/>
          <w:w w:val="90"/>
        </w:rPr>
        <w:t xml:space="preserve">Asignación de fondos estimada: </w:t>
      </w:r>
      <w:r w:rsidRPr="008270BA">
        <w:rPr>
          <w:w w:val="90"/>
        </w:rPr>
        <w:t>Fondos actuales del PDPH: $6,375,007; se necesita un aumento para implementar completamente el plan: A determinar. Los fondos actuales no apoyarán todas las actividades necesarias para alcanzar las metas.</w:t>
      </w:r>
    </w:p>
    <w:p w14:paraId="6307106A" w14:textId="77777777" w:rsidR="00A36BA5" w:rsidRPr="008270BA" w:rsidRDefault="008270BA">
      <w:pPr>
        <w:spacing w:before="226"/>
        <w:ind w:left="380"/>
        <w:rPr>
          <w:b/>
          <w:w w:val="90"/>
        </w:rPr>
      </w:pPr>
      <w:r w:rsidRPr="008270BA">
        <w:rPr>
          <w:b/>
          <w:w w:val="90"/>
        </w:rPr>
        <w:t>Resultados:</w:t>
      </w:r>
    </w:p>
    <w:p w14:paraId="210D99C3" w14:textId="77777777" w:rsidR="00A36BA5" w:rsidRPr="008270BA" w:rsidRDefault="008270BA">
      <w:pPr>
        <w:spacing w:before="87" w:line="247" w:lineRule="auto"/>
        <w:ind w:left="120"/>
        <w:rPr>
          <w:w w:val="90"/>
        </w:rPr>
      </w:pPr>
      <w:r w:rsidRPr="008270BA">
        <w:rPr>
          <w:w w:val="90"/>
        </w:rPr>
        <w:t>Número de nuevas personas infectadas con VIH que se diagnosticará en el período de 5 años: 1,370 Número de PLWH que no lo saben actualmente y que serán diagnosticadas en el período de 5 años:  1,649</w:t>
      </w:r>
    </w:p>
    <w:p w14:paraId="21D08CDB" w14:textId="77777777" w:rsidR="00A36BA5" w:rsidRPr="008270BA" w:rsidRDefault="00A36BA5">
      <w:pPr>
        <w:pStyle w:val="BodyText"/>
        <w:spacing w:before="9"/>
        <w:rPr>
          <w:w w:val="90"/>
          <w:sz w:val="34"/>
        </w:rPr>
      </w:pPr>
    </w:p>
    <w:p w14:paraId="58B87E2E" w14:textId="77777777" w:rsidR="00A36BA5" w:rsidRPr="008270BA" w:rsidRDefault="008270BA">
      <w:pPr>
        <w:ind w:left="120"/>
        <w:rPr>
          <w:w w:val="90"/>
          <w:sz w:val="24"/>
        </w:rPr>
      </w:pPr>
      <w:r w:rsidRPr="008270BA">
        <w:rPr>
          <w:b/>
          <w:w w:val="90"/>
          <w:sz w:val="24"/>
        </w:rPr>
        <w:t xml:space="preserve">Fuente de datos de monitoreo: </w:t>
      </w:r>
      <w:proofErr w:type="spellStart"/>
      <w:r w:rsidRPr="008270BA">
        <w:rPr>
          <w:w w:val="90"/>
          <w:sz w:val="24"/>
        </w:rPr>
        <w:t>EvaluationWeb</w:t>
      </w:r>
      <w:proofErr w:type="spellEnd"/>
      <w:r w:rsidRPr="008270BA">
        <w:rPr>
          <w:w w:val="90"/>
          <w:sz w:val="24"/>
        </w:rPr>
        <w:t>, Datos de Salud Pública de VIH del PDPH</w:t>
      </w:r>
    </w:p>
    <w:p w14:paraId="70F3AB95" w14:textId="77777777" w:rsidR="00A36BA5" w:rsidRDefault="00A36BA5">
      <w:pPr>
        <w:rPr>
          <w:w w:val="90"/>
          <w:sz w:val="24"/>
        </w:rPr>
      </w:pPr>
    </w:p>
    <w:p w14:paraId="38CD95A2" w14:textId="71CE211C" w:rsidR="002F0576" w:rsidRPr="008270BA" w:rsidRDefault="009D4B53">
      <w:pPr>
        <w:rPr>
          <w:w w:val="90"/>
          <w:sz w:val="24"/>
        </w:rPr>
        <w:sectPr w:rsidR="002F0576" w:rsidRPr="008270BA">
          <w:pgSz w:w="12240" w:h="15840"/>
          <w:pgMar w:top="1240" w:right="980" w:bottom="1280" w:left="1060" w:header="731" w:footer="997" w:gutter="0"/>
          <w:cols w:space="720"/>
        </w:sectPr>
      </w:pPr>
      <w:r>
        <w:rPr>
          <w:noProof/>
          <w:sz w:val="24"/>
        </w:rPr>
        <mc:AlternateContent>
          <mc:Choice Requires="wps">
            <w:drawing>
              <wp:anchor distT="45720" distB="45720" distL="114300" distR="114300" simplePos="0" relativeHeight="487617536" behindDoc="0" locked="0" layoutInCell="1" allowOverlap="1" wp14:anchorId="042F2918" wp14:editId="4ECEE258">
                <wp:simplePos x="0" y="0"/>
                <wp:positionH relativeFrom="column">
                  <wp:posOffset>6001385</wp:posOffset>
                </wp:positionH>
                <wp:positionV relativeFrom="paragraph">
                  <wp:posOffset>748030</wp:posOffset>
                </wp:positionV>
                <wp:extent cx="405765" cy="25209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08527" w14:textId="3BEE66D9" w:rsidR="002F0576" w:rsidRPr="002F0576" w:rsidRDefault="002F0576" w:rsidP="002F0576">
                            <w:pPr>
                              <w:rPr>
                                <w:lang w:val="en-US"/>
                              </w:rPr>
                            </w:pPr>
                            <w:r>
                              <w:t>26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2F2918" id="_x0000_s1046" type="#_x0000_t202" style="position:absolute;margin-left:472.55pt;margin-top:58.9pt;width:31.95pt;height:19.85pt;z-index:487617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" stroked="f">
                <v:textbox style="mso-fit-shape-to-text:t">
                  <w:txbxContent>
                    <w:p w14:paraId="61808527" w14:textId="3BEE66D9" w:rsidR="002F0576" w:rsidRPr="002F0576" w:rsidRDefault="002F0576" w:rsidP="002F0576">
                      <w:pPr>
                        <w:rPr>
                          <w:lang w:val="en-US"/>
                        </w:rPr>
                      </w:pPr>
                      <w:r>
                        <w:t>26</w:t>
                      </w:r>
                    </w:p>
                  </w:txbxContent>
                </v:textbox>
                <w10:wrap type="square"/>
              </v:shape>
            </w:pict>
          </mc:Fallback>
        </mc:AlternateContent>
      </w:r>
    </w:p>
    <w:p w14:paraId="41F24969" w14:textId="77777777" w:rsidR="00A36BA5" w:rsidRPr="008270BA" w:rsidRDefault="008270BA">
      <w:pPr>
        <w:pStyle w:val="Heading4"/>
        <w:spacing w:before="114"/>
        <w:rPr>
          <w:w w:val="90"/>
        </w:rPr>
      </w:pPr>
      <w:r w:rsidRPr="008270BA">
        <w:rPr>
          <w:w w:val="90"/>
        </w:rPr>
        <w:lastRenderedPageBreak/>
        <w:t>Meta 1: Para 2025, el 97% de las personas que viven con VIH sabrán su estado de VIH.</w:t>
      </w:r>
    </w:p>
    <w:p w14:paraId="06F707A8" w14:textId="34E7EEB6" w:rsidR="00A36BA5" w:rsidRPr="008270BA" w:rsidRDefault="009D4B53">
      <w:pPr>
        <w:pStyle w:val="BodyText"/>
        <w:spacing w:before="2"/>
        <w:rPr>
          <w:rFonts w:ascii="Arial-BoldItalicMT"/>
          <w:b/>
          <w:i/>
          <w:w w:val="90"/>
          <w:sz w:val="25"/>
        </w:rPr>
      </w:pPr>
      <w:r>
        <w:rPr>
          <w:noProof/>
        </w:rPr>
        <mc:AlternateContent>
          <mc:Choice Requires="wps">
            <w:drawing>
              <wp:anchor distT="45720" distB="45720" distL="114300" distR="114300" simplePos="0" relativeHeight="487618560" behindDoc="0" locked="0" layoutInCell="1" allowOverlap="1" wp14:anchorId="042F2918" wp14:editId="1F87B999">
                <wp:simplePos x="0" y="0"/>
                <wp:positionH relativeFrom="column">
                  <wp:posOffset>5993130</wp:posOffset>
                </wp:positionH>
                <wp:positionV relativeFrom="paragraph">
                  <wp:posOffset>8142605</wp:posOffset>
                </wp:positionV>
                <wp:extent cx="405765" cy="25209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4E9F6" w14:textId="4B5EF9EA" w:rsidR="002F0576" w:rsidRPr="002F0576" w:rsidRDefault="002F0576" w:rsidP="002F0576">
                            <w:pPr>
                              <w:rPr>
                                <w:lang w:val="en-US"/>
                              </w:rPr>
                            </w:pPr>
                            <w:r>
                              <w:t>27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2F2918" id="_x0000_s1047" type="#_x0000_t202" style="position:absolute;margin-left:471.9pt;margin-top:641.15pt;width:31.95pt;height:19.85pt;z-index:487618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" stroked="f">
                <v:textbox style="mso-fit-shape-to-text:t">
                  <w:txbxContent>
                    <w:p w14:paraId="7484E9F6" w14:textId="4B5EF9EA" w:rsidR="002F0576" w:rsidRPr="002F0576" w:rsidRDefault="002F0576" w:rsidP="002F0576">
                      <w:pPr>
                        <w:rPr>
                          <w:lang w:val="en-US"/>
                        </w:rPr>
                      </w:pPr>
                      <w:r>
                        <w:t>27</w:t>
                      </w:r>
                    </w:p>
                  </w:txbxContent>
                </v:textbox>
                <w10:wrap type="square"/>
              </v:shape>
            </w:pict>
          </mc:Fallback>
        </mc:AlternateContent>
      </w:r>
    </w:p>
    <w:tbl>
      <w:tblPr>
        <w:tblStyle w:val="TableNormal1"/>
        <w:tblW w:w="0" w:type="auto"/>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80"/>
        <w:gridCol w:w="3180"/>
        <w:gridCol w:w="4400"/>
      </w:tblGrid>
      <w:tr w:rsidR="00A36BA5" w:rsidRPr="008270BA" w14:paraId="27D210F2" w14:textId="77777777">
        <w:trPr>
          <w:trHeight w:val="580"/>
        </w:trPr>
        <w:tc>
          <w:tcPr>
            <w:tcW w:w="9360" w:type="dxa"/>
            <w:gridSpan w:val="3"/>
            <w:shd w:val="clear" w:color="auto" w:fill="001F5F"/>
          </w:tcPr>
          <w:p w14:paraId="4DED6896" w14:textId="77777777" w:rsidR="00A36BA5" w:rsidRPr="008270BA" w:rsidRDefault="008270BA">
            <w:pPr>
              <w:pStyle w:val="TableParagraph"/>
              <w:spacing w:before="28" w:line="225" w:lineRule="auto"/>
              <w:ind w:left="1843" w:hanging="1626"/>
              <w:rPr>
                <w:b/>
                <w:w w:val="90"/>
                <w:sz w:val="24"/>
              </w:rPr>
            </w:pPr>
            <w:r w:rsidRPr="008270BA">
              <w:rPr>
                <w:b/>
                <w:color w:val="FFFFFF"/>
                <w:w w:val="90"/>
                <w:sz w:val="24"/>
              </w:rPr>
              <w:t>Tabla 4. Número de nuevas infecciones de VIH esperadas y número de personas que no saben su estado que deben ser diagnosticadas en Filadelfia por año</w:t>
            </w:r>
          </w:p>
        </w:tc>
      </w:tr>
      <w:tr w:rsidR="00A36BA5" w:rsidRPr="008270BA" w14:paraId="69E3C301" w14:textId="77777777">
        <w:trPr>
          <w:trHeight w:val="580"/>
        </w:trPr>
        <w:tc>
          <w:tcPr>
            <w:tcW w:w="1780" w:type="dxa"/>
            <w:shd w:val="clear" w:color="auto" w:fill="D9D9D9"/>
          </w:tcPr>
          <w:p w14:paraId="40E0CE35" w14:textId="77777777" w:rsidR="00A36BA5" w:rsidRPr="008270BA" w:rsidRDefault="008270BA">
            <w:pPr>
              <w:pStyle w:val="TableParagraph"/>
              <w:spacing w:before="155"/>
              <w:ind w:left="117"/>
              <w:rPr>
                <w:b/>
                <w:w w:val="90"/>
                <w:sz w:val="24"/>
              </w:rPr>
            </w:pPr>
            <w:r w:rsidRPr="008270BA">
              <w:rPr>
                <w:b/>
                <w:color w:val="31302F"/>
                <w:w w:val="90"/>
                <w:sz w:val="24"/>
              </w:rPr>
              <w:t>Año</w:t>
            </w:r>
          </w:p>
        </w:tc>
        <w:tc>
          <w:tcPr>
            <w:tcW w:w="3180" w:type="dxa"/>
            <w:shd w:val="clear" w:color="auto" w:fill="D9D9D9"/>
          </w:tcPr>
          <w:p w14:paraId="0B53AD3C" w14:textId="77777777" w:rsidR="00A36BA5" w:rsidRPr="008270BA" w:rsidRDefault="008270BA" w:rsidP="00B2692E">
            <w:pPr>
              <w:pStyle w:val="TableParagraph"/>
              <w:spacing w:before="0" w:line="242" w:lineRule="auto"/>
              <w:ind w:left="417" w:right="341" w:hanging="55"/>
              <w:jc w:val="center"/>
              <w:rPr>
                <w:b/>
                <w:w w:val="90"/>
                <w:sz w:val="24"/>
              </w:rPr>
            </w:pPr>
            <w:r w:rsidRPr="008270BA">
              <w:rPr>
                <w:b/>
                <w:color w:val="31302F"/>
                <w:w w:val="90"/>
                <w:sz w:val="24"/>
              </w:rPr>
              <w:t>Número de nuevas infecciones de VIH esperadas</w:t>
            </w:r>
          </w:p>
        </w:tc>
        <w:tc>
          <w:tcPr>
            <w:tcW w:w="4400" w:type="dxa"/>
            <w:shd w:val="clear" w:color="auto" w:fill="D9D9D9"/>
          </w:tcPr>
          <w:p w14:paraId="24299271" w14:textId="77777777" w:rsidR="00A36BA5" w:rsidRPr="008270BA" w:rsidRDefault="008270BA" w:rsidP="00B2692E">
            <w:pPr>
              <w:pStyle w:val="TableParagraph"/>
              <w:spacing w:before="0" w:line="242" w:lineRule="auto"/>
              <w:ind w:left="159" w:right="451"/>
              <w:jc w:val="center"/>
              <w:rPr>
                <w:b/>
                <w:w w:val="90"/>
                <w:sz w:val="24"/>
              </w:rPr>
            </w:pPr>
            <w:r w:rsidRPr="008270BA">
              <w:rPr>
                <w:b/>
                <w:color w:val="31302F"/>
                <w:w w:val="90"/>
                <w:sz w:val="24"/>
              </w:rPr>
              <w:t>Número de personas que no saben su estado que deben ser diagnosticadas</w:t>
            </w:r>
          </w:p>
        </w:tc>
      </w:tr>
      <w:tr w:rsidR="00A36BA5" w:rsidRPr="008270BA" w14:paraId="6E7ADC9C" w14:textId="77777777">
        <w:trPr>
          <w:trHeight w:val="420"/>
        </w:trPr>
        <w:tc>
          <w:tcPr>
            <w:tcW w:w="1780" w:type="dxa"/>
            <w:shd w:val="clear" w:color="auto" w:fill="D9D9D9"/>
          </w:tcPr>
          <w:p w14:paraId="61BCE1EA" w14:textId="77777777" w:rsidR="00A36BA5" w:rsidRPr="008270BA" w:rsidRDefault="008270BA">
            <w:pPr>
              <w:pStyle w:val="TableParagraph"/>
              <w:ind w:left="117"/>
              <w:rPr>
                <w:i/>
                <w:w w:val="90"/>
                <w:sz w:val="24"/>
              </w:rPr>
            </w:pPr>
            <w:r w:rsidRPr="008270BA">
              <w:rPr>
                <w:i/>
                <w:w w:val="90"/>
                <w:sz w:val="24"/>
              </w:rPr>
              <w:t>Línea de referencia</w:t>
            </w:r>
          </w:p>
        </w:tc>
        <w:tc>
          <w:tcPr>
            <w:tcW w:w="3180" w:type="dxa"/>
            <w:shd w:val="clear" w:color="auto" w:fill="D9D9D9"/>
          </w:tcPr>
          <w:p w14:paraId="2633C512" w14:textId="77777777" w:rsidR="00A36BA5" w:rsidRPr="008270BA" w:rsidRDefault="008270BA">
            <w:pPr>
              <w:pStyle w:val="TableParagraph"/>
              <w:ind w:left="1378" w:right="1339"/>
              <w:jc w:val="center"/>
              <w:rPr>
                <w:i/>
                <w:w w:val="90"/>
                <w:sz w:val="24"/>
              </w:rPr>
            </w:pPr>
            <w:r w:rsidRPr="008270BA">
              <w:rPr>
                <w:i/>
                <w:w w:val="90"/>
                <w:sz w:val="24"/>
              </w:rPr>
              <w:t>439</w:t>
            </w:r>
          </w:p>
        </w:tc>
        <w:tc>
          <w:tcPr>
            <w:tcW w:w="4400" w:type="dxa"/>
            <w:vMerge w:val="restart"/>
            <w:shd w:val="clear" w:color="auto" w:fill="D9D9D9"/>
          </w:tcPr>
          <w:p w14:paraId="2B1C0F12" w14:textId="77777777" w:rsidR="00A36BA5" w:rsidRPr="008270BA" w:rsidRDefault="00A36BA5">
            <w:pPr>
              <w:pStyle w:val="TableParagraph"/>
              <w:spacing w:before="0"/>
              <w:rPr>
                <w:rFonts w:ascii="Times New Roman"/>
                <w:w w:val="90"/>
              </w:rPr>
            </w:pPr>
          </w:p>
        </w:tc>
      </w:tr>
      <w:tr w:rsidR="00A36BA5" w:rsidRPr="008270BA" w14:paraId="5D282C67" w14:textId="77777777">
        <w:trPr>
          <w:trHeight w:val="420"/>
        </w:trPr>
        <w:tc>
          <w:tcPr>
            <w:tcW w:w="1780" w:type="dxa"/>
          </w:tcPr>
          <w:p w14:paraId="7A6E39EA" w14:textId="77777777" w:rsidR="00A36BA5" w:rsidRPr="008270BA" w:rsidRDefault="008270BA">
            <w:pPr>
              <w:pStyle w:val="TableParagraph"/>
              <w:spacing w:before="75"/>
              <w:ind w:left="117"/>
              <w:rPr>
                <w:w w:val="90"/>
                <w:sz w:val="24"/>
              </w:rPr>
            </w:pPr>
            <w:r w:rsidRPr="008270BA">
              <w:rPr>
                <w:w w:val="90"/>
                <w:sz w:val="24"/>
              </w:rPr>
              <w:t>Año 1</w:t>
            </w:r>
          </w:p>
        </w:tc>
        <w:tc>
          <w:tcPr>
            <w:tcW w:w="3180" w:type="dxa"/>
          </w:tcPr>
          <w:p w14:paraId="71B0BFEA" w14:textId="77777777" w:rsidR="00A36BA5" w:rsidRPr="008270BA" w:rsidRDefault="008270BA">
            <w:pPr>
              <w:pStyle w:val="TableParagraph"/>
              <w:spacing w:before="75"/>
              <w:ind w:left="1378" w:right="1339"/>
              <w:jc w:val="center"/>
              <w:rPr>
                <w:w w:val="90"/>
                <w:sz w:val="24"/>
              </w:rPr>
            </w:pPr>
            <w:r w:rsidRPr="008270BA">
              <w:rPr>
                <w:w w:val="90"/>
                <w:sz w:val="24"/>
              </w:rPr>
              <w:t>439</w:t>
            </w:r>
          </w:p>
        </w:tc>
        <w:tc>
          <w:tcPr>
            <w:tcW w:w="4400" w:type="dxa"/>
            <w:vMerge/>
            <w:tcBorders>
              <w:top w:val="nil"/>
            </w:tcBorders>
            <w:shd w:val="clear" w:color="auto" w:fill="D9D9D9"/>
          </w:tcPr>
          <w:p w14:paraId="24BF623B" w14:textId="77777777" w:rsidR="00A36BA5" w:rsidRPr="008270BA" w:rsidRDefault="00A36BA5">
            <w:pPr>
              <w:rPr>
                <w:w w:val="90"/>
                <w:sz w:val="2"/>
                <w:szCs w:val="2"/>
              </w:rPr>
            </w:pPr>
          </w:p>
        </w:tc>
      </w:tr>
      <w:tr w:rsidR="00A36BA5" w:rsidRPr="008270BA" w14:paraId="556850D2" w14:textId="77777777">
        <w:trPr>
          <w:trHeight w:val="440"/>
        </w:trPr>
        <w:tc>
          <w:tcPr>
            <w:tcW w:w="1780" w:type="dxa"/>
          </w:tcPr>
          <w:p w14:paraId="693C4362" w14:textId="77777777" w:rsidR="00A36BA5" w:rsidRPr="008270BA" w:rsidRDefault="008270BA">
            <w:pPr>
              <w:pStyle w:val="TableParagraph"/>
              <w:spacing w:before="75"/>
              <w:ind w:left="117"/>
              <w:rPr>
                <w:w w:val="90"/>
                <w:sz w:val="24"/>
              </w:rPr>
            </w:pPr>
            <w:r w:rsidRPr="008270BA">
              <w:rPr>
                <w:w w:val="90"/>
                <w:sz w:val="24"/>
              </w:rPr>
              <w:t>Año 2</w:t>
            </w:r>
          </w:p>
        </w:tc>
        <w:tc>
          <w:tcPr>
            <w:tcW w:w="3180" w:type="dxa"/>
          </w:tcPr>
          <w:p w14:paraId="47F1E9E2" w14:textId="77777777" w:rsidR="00A36BA5" w:rsidRPr="008270BA" w:rsidRDefault="008270BA">
            <w:pPr>
              <w:pStyle w:val="TableParagraph"/>
              <w:spacing w:before="75"/>
              <w:ind w:left="1378" w:right="1339"/>
              <w:jc w:val="center"/>
              <w:rPr>
                <w:w w:val="90"/>
                <w:sz w:val="24"/>
              </w:rPr>
            </w:pPr>
            <w:r w:rsidRPr="008270BA">
              <w:rPr>
                <w:w w:val="90"/>
                <w:sz w:val="24"/>
              </w:rPr>
              <w:t>357</w:t>
            </w:r>
          </w:p>
        </w:tc>
        <w:tc>
          <w:tcPr>
            <w:tcW w:w="4400" w:type="dxa"/>
          </w:tcPr>
          <w:p w14:paraId="26A6506E" w14:textId="77777777" w:rsidR="00A36BA5" w:rsidRPr="008270BA" w:rsidRDefault="008270BA">
            <w:pPr>
              <w:pStyle w:val="TableParagraph"/>
              <w:spacing w:before="75"/>
              <w:ind w:right="1984"/>
              <w:jc w:val="right"/>
              <w:rPr>
                <w:w w:val="90"/>
                <w:sz w:val="24"/>
              </w:rPr>
            </w:pPr>
            <w:r w:rsidRPr="008270BA">
              <w:rPr>
                <w:w w:val="90"/>
                <w:sz w:val="24"/>
              </w:rPr>
              <w:t>413</w:t>
            </w:r>
          </w:p>
        </w:tc>
      </w:tr>
      <w:tr w:rsidR="00A36BA5" w:rsidRPr="008270BA" w14:paraId="73B956BD" w14:textId="77777777">
        <w:trPr>
          <w:trHeight w:val="420"/>
        </w:trPr>
        <w:tc>
          <w:tcPr>
            <w:tcW w:w="1780" w:type="dxa"/>
          </w:tcPr>
          <w:p w14:paraId="1DF15F5C" w14:textId="77777777" w:rsidR="00A36BA5" w:rsidRPr="008270BA" w:rsidRDefault="008270BA">
            <w:pPr>
              <w:pStyle w:val="TableParagraph"/>
              <w:spacing w:before="75"/>
              <w:ind w:left="117"/>
              <w:rPr>
                <w:w w:val="90"/>
                <w:sz w:val="24"/>
              </w:rPr>
            </w:pPr>
            <w:r w:rsidRPr="008270BA">
              <w:rPr>
                <w:w w:val="90"/>
                <w:sz w:val="24"/>
              </w:rPr>
              <w:t>Año 3</w:t>
            </w:r>
          </w:p>
        </w:tc>
        <w:tc>
          <w:tcPr>
            <w:tcW w:w="3180" w:type="dxa"/>
          </w:tcPr>
          <w:p w14:paraId="4FE40272" w14:textId="77777777" w:rsidR="00A36BA5" w:rsidRPr="008270BA" w:rsidRDefault="008270BA">
            <w:pPr>
              <w:pStyle w:val="TableParagraph"/>
              <w:spacing w:before="75"/>
              <w:ind w:left="1378" w:right="1339"/>
              <w:jc w:val="center"/>
              <w:rPr>
                <w:w w:val="90"/>
                <w:sz w:val="24"/>
              </w:rPr>
            </w:pPr>
            <w:r w:rsidRPr="008270BA">
              <w:rPr>
                <w:w w:val="90"/>
                <w:sz w:val="24"/>
              </w:rPr>
              <w:t>274</w:t>
            </w:r>
          </w:p>
        </w:tc>
        <w:tc>
          <w:tcPr>
            <w:tcW w:w="4400" w:type="dxa"/>
          </w:tcPr>
          <w:p w14:paraId="793EA7D4" w14:textId="77777777" w:rsidR="00A36BA5" w:rsidRPr="008270BA" w:rsidRDefault="008270BA">
            <w:pPr>
              <w:pStyle w:val="TableParagraph"/>
              <w:spacing w:before="75"/>
              <w:ind w:right="1984"/>
              <w:jc w:val="right"/>
              <w:rPr>
                <w:w w:val="90"/>
                <w:sz w:val="24"/>
              </w:rPr>
            </w:pPr>
            <w:r w:rsidRPr="008270BA">
              <w:rPr>
                <w:w w:val="90"/>
                <w:sz w:val="24"/>
              </w:rPr>
              <w:t>412</w:t>
            </w:r>
          </w:p>
        </w:tc>
      </w:tr>
      <w:tr w:rsidR="00A36BA5" w:rsidRPr="008270BA" w14:paraId="3DD42534" w14:textId="77777777">
        <w:trPr>
          <w:trHeight w:val="420"/>
        </w:trPr>
        <w:tc>
          <w:tcPr>
            <w:tcW w:w="1780" w:type="dxa"/>
          </w:tcPr>
          <w:p w14:paraId="28419210" w14:textId="77777777" w:rsidR="00A36BA5" w:rsidRPr="008270BA" w:rsidRDefault="008270BA">
            <w:pPr>
              <w:pStyle w:val="TableParagraph"/>
              <w:spacing w:before="75"/>
              <w:ind w:left="117"/>
              <w:rPr>
                <w:w w:val="90"/>
                <w:sz w:val="24"/>
              </w:rPr>
            </w:pPr>
            <w:r w:rsidRPr="008270BA">
              <w:rPr>
                <w:w w:val="90"/>
                <w:sz w:val="24"/>
              </w:rPr>
              <w:t>Año 4</w:t>
            </w:r>
          </w:p>
        </w:tc>
        <w:tc>
          <w:tcPr>
            <w:tcW w:w="3180" w:type="dxa"/>
          </w:tcPr>
          <w:p w14:paraId="768D3DF6" w14:textId="77777777" w:rsidR="00A36BA5" w:rsidRPr="008270BA" w:rsidRDefault="008270BA">
            <w:pPr>
              <w:pStyle w:val="TableParagraph"/>
              <w:spacing w:before="75"/>
              <w:ind w:left="1378" w:right="1339"/>
              <w:jc w:val="center"/>
              <w:rPr>
                <w:w w:val="90"/>
                <w:sz w:val="24"/>
              </w:rPr>
            </w:pPr>
            <w:r w:rsidRPr="008270BA">
              <w:rPr>
                <w:w w:val="90"/>
                <w:sz w:val="24"/>
              </w:rPr>
              <w:t>192</w:t>
            </w:r>
          </w:p>
        </w:tc>
        <w:tc>
          <w:tcPr>
            <w:tcW w:w="4400" w:type="dxa"/>
          </w:tcPr>
          <w:p w14:paraId="238EF184" w14:textId="77777777" w:rsidR="00A36BA5" w:rsidRPr="008270BA" w:rsidRDefault="008270BA">
            <w:pPr>
              <w:pStyle w:val="TableParagraph"/>
              <w:spacing w:before="75"/>
              <w:ind w:right="1984"/>
              <w:jc w:val="right"/>
              <w:rPr>
                <w:w w:val="90"/>
                <w:sz w:val="24"/>
              </w:rPr>
            </w:pPr>
            <w:r w:rsidRPr="008270BA">
              <w:rPr>
                <w:w w:val="90"/>
                <w:sz w:val="24"/>
              </w:rPr>
              <w:t>412</w:t>
            </w:r>
          </w:p>
        </w:tc>
      </w:tr>
      <w:tr w:rsidR="00A36BA5" w:rsidRPr="008270BA" w14:paraId="6FD68032" w14:textId="77777777">
        <w:trPr>
          <w:trHeight w:val="420"/>
        </w:trPr>
        <w:tc>
          <w:tcPr>
            <w:tcW w:w="1780" w:type="dxa"/>
          </w:tcPr>
          <w:p w14:paraId="0EA403FA" w14:textId="77777777" w:rsidR="00A36BA5" w:rsidRPr="008270BA" w:rsidRDefault="008270BA">
            <w:pPr>
              <w:pStyle w:val="TableParagraph"/>
              <w:spacing w:before="75"/>
              <w:ind w:left="117"/>
              <w:rPr>
                <w:w w:val="90"/>
                <w:sz w:val="24"/>
              </w:rPr>
            </w:pPr>
            <w:r w:rsidRPr="008270BA">
              <w:rPr>
                <w:w w:val="90"/>
                <w:sz w:val="24"/>
              </w:rPr>
              <w:t>Año 5</w:t>
            </w:r>
          </w:p>
        </w:tc>
        <w:tc>
          <w:tcPr>
            <w:tcW w:w="3180" w:type="dxa"/>
          </w:tcPr>
          <w:p w14:paraId="45393741" w14:textId="77777777" w:rsidR="00A36BA5" w:rsidRPr="008270BA" w:rsidRDefault="008270BA">
            <w:pPr>
              <w:pStyle w:val="TableParagraph"/>
              <w:spacing w:before="75"/>
              <w:ind w:left="1379" w:right="1339"/>
              <w:jc w:val="center"/>
              <w:rPr>
                <w:w w:val="90"/>
                <w:sz w:val="24"/>
              </w:rPr>
            </w:pPr>
            <w:r w:rsidRPr="008270BA">
              <w:rPr>
                <w:w w:val="90"/>
                <w:sz w:val="24"/>
              </w:rPr>
              <w:t>109</w:t>
            </w:r>
          </w:p>
        </w:tc>
        <w:tc>
          <w:tcPr>
            <w:tcW w:w="4400" w:type="dxa"/>
          </w:tcPr>
          <w:p w14:paraId="3F09A39C" w14:textId="55823764" w:rsidR="00A36BA5" w:rsidRPr="008270BA" w:rsidRDefault="008270BA">
            <w:pPr>
              <w:pStyle w:val="TableParagraph"/>
              <w:spacing w:before="75"/>
              <w:ind w:right="1984"/>
              <w:jc w:val="right"/>
              <w:rPr>
                <w:w w:val="90"/>
                <w:sz w:val="24"/>
              </w:rPr>
            </w:pPr>
            <w:r w:rsidRPr="008270BA">
              <w:rPr>
                <w:w w:val="90"/>
                <w:sz w:val="24"/>
              </w:rPr>
              <w:t>412</w:t>
            </w:r>
          </w:p>
        </w:tc>
      </w:tr>
    </w:tbl>
    <w:p w14:paraId="1300E6EB" w14:textId="77777777" w:rsidR="00A36BA5" w:rsidRPr="008270BA" w:rsidRDefault="00A36BA5">
      <w:pPr>
        <w:jc w:val="right"/>
        <w:rPr>
          <w:w w:val="90"/>
          <w:sz w:val="24"/>
        </w:rPr>
        <w:sectPr w:rsidR="00A36BA5" w:rsidRPr="008270BA">
          <w:pgSz w:w="12240" w:h="15840"/>
          <w:pgMar w:top="1240" w:right="980" w:bottom="1280" w:left="1060" w:header="731" w:footer="997" w:gutter="0"/>
          <w:cols w:space="720"/>
        </w:sectPr>
      </w:pPr>
    </w:p>
    <w:p w14:paraId="24A77673" w14:textId="77777777" w:rsidR="00A36BA5" w:rsidRPr="008270BA" w:rsidRDefault="008270BA">
      <w:pPr>
        <w:pStyle w:val="Heading2"/>
        <w:rPr>
          <w:w w:val="90"/>
        </w:rPr>
      </w:pPr>
      <w:bookmarkStart w:id="16" w:name="_TOC_250008"/>
      <w:r w:rsidRPr="008270BA">
        <w:rPr>
          <w:w w:val="90"/>
        </w:rPr>
        <w:lastRenderedPageBreak/>
        <w:t xml:space="preserve">Pilar 2: </w:t>
      </w:r>
      <w:bookmarkEnd w:id="16"/>
      <w:r w:rsidRPr="008270BA">
        <w:rPr>
          <w:w w:val="90"/>
        </w:rPr>
        <w:t>Tratar</w:t>
      </w:r>
    </w:p>
    <w:p w14:paraId="4777F2A4" w14:textId="77777777" w:rsidR="00A36BA5" w:rsidRPr="008270BA" w:rsidRDefault="00A36BA5">
      <w:pPr>
        <w:pStyle w:val="BodyText"/>
        <w:spacing w:before="4"/>
        <w:rPr>
          <w:w w:val="90"/>
          <w:sz w:val="27"/>
        </w:rPr>
      </w:pPr>
    </w:p>
    <w:p w14:paraId="5FA467C0" w14:textId="77777777" w:rsidR="00A36BA5" w:rsidRPr="008270BA" w:rsidRDefault="008270BA">
      <w:pPr>
        <w:pStyle w:val="Heading4"/>
        <w:rPr>
          <w:w w:val="90"/>
        </w:rPr>
      </w:pPr>
      <w:r w:rsidRPr="008270BA">
        <w:rPr>
          <w:w w:val="90"/>
        </w:rPr>
        <w:t>Meta 2: Para 2025, el 92% de las personas que viven con VIH estarán viralmente suprimidas</w:t>
      </w:r>
    </w:p>
    <w:p w14:paraId="412D195A" w14:textId="77777777" w:rsidR="00A36BA5" w:rsidRPr="008270BA" w:rsidRDefault="00A36BA5">
      <w:pPr>
        <w:pStyle w:val="BodyText"/>
        <w:spacing w:before="7"/>
        <w:rPr>
          <w:rFonts w:ascii="Arial-BoldItalicMT"/>
          <w:b/>
          <w:i/>
          <w:w w:val="90"/>
          <w:sz w:val="31"/>
        </w:rPr>
      </w:pPr>
    </w:p>
    <w:p w14:paraId="7A325B0C" w14:textId="77777777" w:rsidR="00A36BA5" w:rsidRPr="00B2692E" w:rsidRDefault="008270BA">
      <w:pPr>
        <w:pStyle w:val="Heading3"/>
        <w:rPr>
          <w:w w:val="85"/>
        </w:rPr>
      </w:pPr>
      <w:r w:rsidRPr="00B2692E">
        <w:rPr>
          <w:w w:val="85"/>
        </w:rPr>
        <w:t>Estrategia 2.1: Mejorar el acceso rápido a medicamentos para el VIH y citas médicas.</w:t>
      </w:r>
    </w:p>
    <w:p w14:paraId="78DBD4E4" w14:textId="77777777" w:rsidR="00A36BA5" w:rsidRPr="008270BA" w:rsidRDefault="008270BA">
      <w:pPr>
        <w:pStyle w:val="ListParagraph"/>
        <w:numPr>
          <w:ilvl w:val="0"/>
          <w:numId w:val="4"/>
        </w:numPr>
        <w:tabs>
          <w:tab w:val="left" w:pos="903"/>
        </w:tabs>
        <w:spacing w:before="50" w:line="230" w:lineRule="auto"/>
        <w:ind w:right="808" w:hanging="360"/>
        <w:rPr>
          <w:w w:val="90"/>
        </w:rPr>
      </w:pPr>
      <w:r w:rsidRPr="008270BA">
        <w:rPr>
          <w:i/>
          <w:w w:val="90"/>
        </w:rPr>
        <w:t>Actividad 2.1.1</w:t>
      </w:r>
      <w:r w:rsidRPr="008270BA">
        <w:rPr>
          <w:w w:val="90"/>
        </w:rPr>
        <w:t>: De acuerdo con las pautas federales de tratamiento, aumentar el acceso al inicio inmediato de ART (dentro de las 96 horas).</w:t>
      </w:r>
    </w:p>
    <w:p w14:paraId="248320A5" w14:textId="77777777" w:rsidR="00A36BA5" w:rsidRPr="008270BA" w:rsidRDefault="008270BA">
      <w:pPr>
        <w:pStyle w:val="ListParagraph"/>
        <w:numPr>
          <w:ilvl w:val="0"/>
          <w:numId w:val="4"/>
        </w:numPr>
        <w:tabs>
          <w:tab w:val="left" w:pos="903"/>
        </w:tabs>
        <w:spacing w:before="28" w:line="247" w:lineRule="auto"/>
        <w:ind w:right="544" w:hanging="360"/>
        <w:rPr>
          <w:w w:val="90"/>
        </w:rPr>
      </w:pPr>
      <w:r w:rsidRPr="008270BA">
        <w:rPr>
          <w:i/>
          <w:w w:val="90"/>
        </w:rPr>
        <w:t xml:space="preserve">Actividad 2.1.2: </w:t>
      </w:r>
      <w:r w:rsidRPr="008270BA">
        <w:rPr>
          <w:w w:val="90"/>
        </w:rPr>
        <w:t>Establecer nuevos sitios de tratamiento del VIH de alcance para todos en áreas desatendidas de la ciudad, incluida una clínica diseñada para atender a PWID y explorar modelos de implementación de alcance para todos para la atención del VIH, por ej., telemedicina, visitas prolongadas de enfermeros, atención del VIH con el apoyo de farmacias y VIH en centros de tratamiento de drogas y programas de salud conductual.</w:t>
      </w:r>
    </w:p>
    <w:p w14:paraId="5588307C" w14:textId="77777777" w:rsidR="00A36BA5" w:rsidRPr="008270BA" w:rsidRDefault="008270BA">
      <w:pPr>
        <w:pStyle w:val="ListParagraph"/>
        <w:numPr>
          <w:ilvl w:val="0"/>
          <w:numId w:val="4"/>
        </w:numPr>
        <w:tabs>
          <w:tab w:val="left" w:pos="903"/>
        </w:tabs>
        <w:spacing w:before="46" w:line="230" w:lineRule="auto"/>
        <w:ind w:right="913" w:hanging="360"/>
        <w:rPr>
          <w:w w:val="90"/>
        </w:rPr>
      </w:pPr>
      <w:r w:rsidRPr="008270BA">
        <w:rPr>
          <w:i/>
          <w:w w:val="90"/>
        </w:rPr>
        <w:t>Actividad 2.1.3</w:t>
      </w:r>
      <w:r w:rsidRPr="008270BA">
        <w:rPr>
          <w:w w:val="90"/>
        </w:rPr>
        <w:t>: Desarrollar capacidad en programas de tratamiento para el abuso de sustancias de alto volumen para diagnosticar VIH, iniciar ART de inmediato y conectar PLWH a la atención médica de VIH.</w:t>
      </w:r>
    </w:p>
    <w:p w14:paraId="64B8D704" w14:textId="77777777" w:rsidR="00A36BA5" w:rsidRPr="008270BA" w:rsidRDefault="008270BA">
      <w:pPr>
        <w:pStyle w:val="ListParagraph"/>
        <w:numPr>
          <w:ilvl w:val="0"/>
          <w:numId w:val="4"/>
        </w:numPr>
        <w:tabs>
          <w:tab w:val="left" w:pos="903"/>
        </w:tabs>
        <w:spacing w:before="35" w:line="230" w:lineRule="auto"/>
        <w:ind w:right="1224" w:hanging="360"/>
        <w:rPr>
          <w:w w:val="90"/>
        </w:rPr>
      </w:pPr>
      <w:r w:rsidRPr="008270BA">
        <w:rPr>
          <w:i/>
          <w:w w:val="90"/>
        </w:rPr>
        <w:t>Actividad 2.1.4</w:t>
      </w:r>
      <w:r w:rsidRPr="008270BA">
        <w:rPr>
          <w:w w:val="90"/>
        </w:rPr>
        <w:t>: Continuar reduciendo las barreras para el Programa de Beneficios Especiales Farmacéuticos y asistencia farmacéutica de emergencia.</w:t>
      </w:r>
    </w:p>
    <w:p w14:paraId="221DA9B8" w14:textId="77777777" w:rsidR="00A36BA5" w:rsidRPr="008270BA" w:rsidRDefault="00A36BA5">
      <w:pPr>
        <w:pStyle w:val="BodyText"/>
        <w:spacing w:before="7"/>
        <w:rPr>
          <w:w w:val="90"/>
          <w:sz w:val="28"/>
        </w:rPr>
      </w:pPr>
    </w:p>
    <w:p w14:paraId="6704B595" w14:textId="77777777" w:rsidR="00A36BA5" w:rsidRPr="00B2692E" w:rsidRDefault="008270BA">
      <w:pPr>
        <w:pStyle w:val="Heading3"/>
        <w:jc w:val="both"/>
        <w:rPr>
          <w:w w:val="85"/>
        </w:rPr>
      </w:pPr>
      <w:r w:rsidRPr="00B2692E">
        <w:rPr>
          <w:w w:val="85"/>
        </w:rPr>
        <w:t>Estrategia 2.2: Mejorar la capacidad del sistema médico del VIH para retener pacientes en la atención.</w:t>
      </w:r>
    </w:p>
    <w:p w14:paraId="3AB708BE" w14:textId="77777777" w:rsidR="00A36BA5" w:rsidRPr="008270BA" w:rsidRDefault="008270BA">
      <w:pPr>
        <w:pStyle w:val="ListParagraph"/>
        <w:numPr>
          <w:ilvl w:val="0"/>
          <w:numId w:val="4"/>
        </w:numPr>
        <w:tabs>
          <w:tab w:val="left" w:pos="903"/>
        </w:tabs>
        <w:spacing w:before="51" w:line="230" w:lineRule="auto"/>
        <w:ind w:right="470" w:hanging="360"/>
        <w:jc w:val="both"/>
        <w:rPr>
          <w:w w:val="90"/>
        </w:rPr>
      </w:pPr>
      <w:r w:rsidRPr="008270BA">
        <w:rPr>
          <w:i/>
          <w:w w:val="90"/>
        </w:rPr>
        <w:t>Actividad 2.2.1</w:t>
      </w:r>
      <w:r w:rsidRPr="008270BA">
        <w:rPr>
          <w:w w:val="90"/>
        </w:rPr>
        <w:t>: Aumentar la participación en la atención médica del VIH mediante la expansión del Programa de Datos para la Atención del PDPH existente a todos los sitios de tratamiento del VIH existentes.</w:t>
      </w:r>
    </w:p>
    <w:p w14:paraId="1AD74548" w14:textId="77777777" w:rsidR="00A36BA5" w:rsidRPr="008270BA" w:rsidRDefault="008270BA">
      <w:pPr>
        <w:pStyle w:val="ListParagraph"/>
        <w:numPr>
          <w:ilvl w:val="0"/>
          <w:numId w:val="4"/>
        </w:numPr>
        <w:tabs>
          <w:tab w:val="left" w:pos="903"/>
        </w:tabs>
        <w:spacing w:before="27" w:line="247" w:lineRule="auto"/>
        <w:ind w:right="708" w:hanging="360"/>
        <w:jc w:val="both"/>
        <w:rPr>
          <w:w w:val="90"/>
        </w:rPr>
      </w:pPr>
      <w:r w:rsidRPr="008270BA">
        <w:rPr>
          <w:i/>
          <w:w w:val="90"/>
        </w:rPr>
        <w:t>Actividad 2.2.2</w:t>
      </w:r>
      <w:r w:rsidRPr="008270BA">
        <w:rPr>
          <w:w w:val="90"/>
        </w:rPr>
        <w:t>: Apoyar los enfoques iniciados por proveedores, sobre la base de la necesidad y capacidad del proveedor, para volver a involucrar a PLWH en la atención médica. Usar los datos para identificar las necesidades únicas de los pacientes del proveedor y ofrecer recursos que promuevan la retención y supresión viral. Para lograr esto:</w:t>
      </w:r>
    </w:p>
    <w:p w14:paraId="4F898FFB" w14:textId="77777777" w:rsidR="00A36BA5" w:rsidRPr="008270BA" w:rsidRDefault="008270BA">
      <w:pPr>
        <w:pStyle w:val="ListParagraph"/>
        <w:numPr>
          <w:ilvl w:val="1"/>
          <w:numId w:val="4"/>
        </w:numPr>
        <w:tabs>
          <w:tab w:val="left" w:pos="1654"/>
        </w:tabs>
        <w:spacing w:line="247" w:lineRule="auto"/>
        <w:ind w:right="661" w:hanging="360"/>
        <w:rPr>
          <w:w w:val="90"/>
        </w:rPr>
      </w:pPr>
      <w:r w:rsidRPr="008270BA">
        <w:rPr>
          <w:w w:val="90"/>
        </w:rPr>
        <w:t>El PDPH identificará los últimos pacientes visitados del centro médico que no se encuentran atendidos (dentro de los últimos cinco años). Los centros médicos utilizarán esta información para evaluar los planes específicos del centro para mejorar la retención.</w:t>
      </w:r>
    </w:p>
    <w:p w14:paraId="6B656C31" w14:textId="77777777" w:rsidR="00A36BA5" w:rsidRPr="008270BA" w:rsidRDefault="008270BA">
      <w:pPr>
        <w:pStyle w:val="ListParagraph"/>
        <w:numPr>
          <w:ilvl w:val="1"/>
          <w:numId w:val="4"/>
        </w:numPr>
        <w:tabs>
          <w:tab w:val="left" w:pos="1654"/>
        </w:tabs>
        <w:spacing w:before="8" w:line="228" w:lineRule="auto"/>
        <w:ind w:right="1266" w:hanging="360"/>
        <w:rPr>
          <w:w w:val="90"/>
        </w:rPr>
      </w:pPr>
      <w:r w:rsidRPr="008270BA">
        <w:rPr>
          <w:w w:val="90"/>
        </w:rPr>
        <w:t>El PDPH financiará un rango de opciones para que los centros implementen para mejorar la retención, lo que incluye:</w:t>
      </w:r>
    </w:p>
    <w:p w14:paraId="2CF4961A" w14:textId="77777777" w:rsidR="00A36BA5" w:rsidRPr="008270BA" w:rsidRDefault="008270BA">
      <w:pPr>
        <w:spacing w:before="30" w:line="247" w:lineRule="auto"/>
        <w:ind w:left="2540" w:right="797" w:hanging="360"/>
        <w:rPr>
          <w:w w:val="90"/>
        </w:rPr>
      </w:pPr>
      <w:r w:rsidRPr="008270BA">
        <w:rPr>
          <w:w w:val="90"/>
        </w:rPr>
        <w:t>§ Ampliar el horario de atención para incluir citas por la noche y los fines de semana para la atención médica del VIH en centros de tratamiento del VIH en la comunidad y hospitales.</w:t>
      </w:r>
    </w:p>
    <w:p w14:paraId="3E2F387D" w14:textId="77777777" w:rsidR="00A36BA5" w:rsidRPr="008270BA" w:rsidRDefault="008270BA">
      <w:pPr>
        <w:spacing w:before="19" w:line="247" w:lineRule="auto"/>
        <w:ind w:left="2540" w:right="809" w:hanging="360"/>
        <w:rPr>
          <w:w w:val="90"/>
        </w:rPr>
      </w:pPr>
      <w:r w:rsidRPr="008270BA">
        <w:rPr>
          <w:w w:val="90"/>
        </w:rPr>
        <w:t>§ Aumentar la capacidad para niveles más intensivos de servicios de manejo de casos médicos en todo el sistema agregando más gerentes de casos médicos en las clínicas.</w:t>
      </w:r>
    </w:p>
    <w:p w14:paraId="3496F378" w14:textId="77777777" w:rsidR="00A36BA5" w:rsidRPr="008270BA" w:rsidRDefault="008270BA">
      <w:pPr>
        <w:spacing w:line="256" w:lineRule="auto"/>
        <w:ind w:left="2540" w:right="962" w:hanging="360"/>
        <w:jc w:val="both"/>
        <w:rPr>
          <w:w w:val="90"/>
        </w:rPr>
      </w:pPr>
      <w:r w:rsidRPr="008270BA">
        <w:rPr>
          <w:w w:val="90"/>
        </w:rPr>
        <w:t>§ Fortalecer el enfoque del equipo multidisciplinario agregando trabajadores de la salud comunitarios en centros de tratamiento del VIH para implementar la intervención de Resolución de Problemas Administrada basada en evidencia.</w:t>
      </w:r>
    </w:p>
    <w:p w14:paraId="1E071731" w14:textId="77777777" w:rsidR="00A36BA5" w:rsidRPr="008270BA" w:rsidRDefault="008270BA">
      <w:pPr>
        <w:spacing w:before="7" w:line="252" w:lineRule="auto"/>
        <w:ind w:left="2540" w:right="701" w:hanging="360"/>
        <w:rPr>
          <w:w w:val="90"/>
        </w:rPr>
      </w:pPr>
      <w:r w:rsidRPr="008270BA">
        <w:rPr>
          <w:w w:val="90"/>
        </w:rPr>
        <w:t>§ Establecer servicios de asociación médica/legal que consisten en abogados y asistentes legales ubicados en centros de atención médica para atender a PLWH cuya salud puede verse afectada negativamente por necesidades legales, como por ejemplo acceso a seguro médico o estado de inmigración.</w:t>
      </w:r>
    </w:p>
    <w:p w14:paraId="1111690D" w14:textId="7A334E67" w:rsidR="00A36BA5" w:rsidRPr="008270BA" w:rsidRDefault="009D4B53">
      <w:pPr>
        <w:spacing w:line="252" w:lineRule="auto"/>
        <w:rPr>
          <w:w w:val="90"/>
        </w:rPr>
        <w:sectPr w:rsidR="00A36BA5" w:rsidRPr="008270BA">
          <w:pgSz w:w="12240" w:h="15840"/>
          <w:pgMar w:top="1240" w:right="980" w:bottom="1280" w:left="1060" w:header="731" w:footer="997" w:gutter="0"/>
          <w:cols w:space="720"/>
        </w:sectPr>
      </w:pPr>
      <w:r>
        <w:rPr>
          <w:noProof/>
        </w:rPr>
        <mc:AlternateContent>
          <mc:Choice Requires="wps">
            <w:drawing>
              <wp:anchor distT="45720" distB="45720" distL="114300" distR="114300" simplePos="0" relativeHeight="487619584" behindDoc="0" locked="0" layoutInCell="1" allowOverlap="1" wp14:anchorId="042F2918" wp14:editId="31BB5186">
                <wp:simplePos x="0" y="0"/>
                <wp:positionH relativeFrom="column">
                  <wp:posOffset>5953760</wp:posOffset>
                </wp:positionH>
                <wp:positionV relativeFrom="paragraph">
                  <wp:posOffset>120650</wp:posOffset>
                </wp:positionV>
                <wp:extent cx="405765" cy="25209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8FB1D" w14:textId="3E8778D9" w:rsidR="002F0576" w:rsidRPr="002F0576" w:rsidRDefault="002F0576" w:rsidP="002F0576">
                            <w:pPr>
                              <w:rPr>
                                <w:lang w:val="en-US"/>
                              </w:rPr>
                            </w:pPr>
                            <w:r>
                              <w:t>28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2F2918" id="_x0000_s1048" type="#_x0000_t202" style="position:absolute;margin-left:468.8pt;margin-top:9.5pt;width:31.95pt;height:19.85pt;z-index:487619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" stroked="f">
                <v:textbox style="mso-fit-shape-to-text:t">
                  <w:txbxContent>
                    <w:p w14:paraId="6748FB1D" w14:textId="3E8778D9" w:rsidR="002F0576" w:rsidRPr="002F0576" w:rsidRDefault="002F0576" w:rsidP="002F0576">
                      <w:pPr>
                        <w:rPr>
                          <w:lang w:val="en-US"/>
                        </w:rPr>
                      </w:pPr>
                      <w:r>
                        <w:t>28</w:t>
                      </w:r>
                    </w:p>
                  </w:txbxContent>
                </v:textbox>
                <w10:wrap type="square"/>
              </v:shape>
            </w:pict>
          </mc:Fallback>
        </mc:AlternateContent>
      </w:r>
    </w:p>
    <w:p w14:paraId="63F7DEAE" w14:textId="77777777" w:rsidR="00A36BA5" w:rsidRPr="00B2692E" w:rsidRDefault="008270BA">
      <w:pPr>
        <w:pStyle w:val="Heading3"/>
        <w:spacing w:before="114" w:line="242" w:lineRule="auto"/>
        <w:ind w:left="120" w:right="473"/>
        <w:rPr>
          <w:w w:val="85"/>
        </w:rPr>
      </w:pPr>
      <w:r w:rsidRPr="00B2692E">
        <w:rPr>
          <w:w w:val="85"/>
        </w:rPr>
        <w:lastRenderedPageBreak/>
        <w:t>Estrategia 2.3: Abordar a los influyentes sociales y estructurales de la salud para mejorar los resultados de la atención médica entre las PLWH a través de la atención de la salud conductual, la vivienda y los servicios de apoyo.</w:t>
      </w:r>
    </w:p>
    <w:p w14:paraId="37269393" w14:textId="77777777" w:rsidR="00A36BA5" w:rsidRPr="008270BA" w:rsidRDefault="008270BA">
      <w:pPr>
        <w:spacing w:before="101"/>
        <w:ind w:left="120"/>
        <w:rPr>
          <w:w w:val="90"/>
        </w:rPr>
      </w:pPr>
      <w:r w:rsidRPr="008270BA">
        <w:rPr>
          <w:w w:val="90"/>
          <w:u w:val="single"/>
        </w:rPr>
        <w:t>Atención de salud conductual</w:t>
      </w:r>
    </w:p>
    <w:p w14:paraId="5DF84A7D" w14:textId="77777777" w:rsidR="00A36BA5" w:rsidRPr="008270BA" w:rsidRDefault="008270BA">
      <w:pPr>
        <w:pStyle w:val="ListParagraph"/>
        <w:numPr>
          <w:ilvl w:val="0"/>
          <w:numId w:val="4"/>
        </w:numPr>
        <w:tabs>
          <w:tab w:val="left" w:pos="903"/>
        </w:tabs>
        <w:spacing w:before="49" w:line="237" w:lineRule="auto"/>
        <w:ind w:right="1025" w:hanging="360"/>
        <w:rPr>
          <w:w w:val="90"/>
        </w:rPr>
      </w:pPr>
      <w:r w:rsidRPr="008270BA">
        <w:rPr>
          <w:i/>
          <w:w w:val="90"/>
        </w:rPr>
        <w:t>Actividad 2.3.1</w:t>
      </w:r>
      <w:r w:rsidRPr="008270BA">
        <w:rPr>
          <w:w w:val="90"/>
        </w:rPr>
        <w:t>: Reducir las barreras para la atención de salud conductual expandiendo el acceso a servicios a través de la asociación con el Departamento de Salud Mental y Servicios de Discapacidad Intelectual (</w:t>
      </w:r>
      <w:proofErr w:type="spellStart"/>
      <w:r w:rsidRPr="008270BA">
        <w:rPr>
          <w:w w:val="90"/>
        </w:rPr>
        <w:t>DBHIdS</w:t>
      </w:r>
      <w:proofErr w:type="spellEnd"/>
      <w:r w:rsidRPr="008270BA">
        <w:rPr>
          <w:w w:val="90"/>
        </w:rPr>
        <w:t xml:space="preserve">) (por ej., sesiones de </w:t>
      </w:r>
      <w:proofErr w:type="spellStart"/>
      <w:r w:rsidRPr="008270BA">
        <w:rPr>
          <w:w w:val="90"/>
        </w:rPr>
        <w:t>telepsiquiatría</w:t>
      </w:r>
      <w:proofErr w:type="spellEnd"/>
      <w:r w:rsidRPr="008270BA">
        <w:rPr>
          <w:w w:val="90"/>
        </w:rPr>
        <w:t>).</w:t>
      </w:r>
    </w:p>
    <w:p w14:paraId="194E8051" w14:textId="77777777" w:rsidR="00A36BA5" w:rsidRPr="008270BA" w:rsidRDefault="008270BA">
      <w:pPr>
        <w:pStyle w:val="ListParagraph"/>
        <w:numPr>
          <w:ilvl w:val="0"/>
          <w:numId w:val="4"/>
        </w:numPr>
        <w:tabs>
          <w:tab w:val="left" w:pos="903"/>
        </w:tabs>
        <w:spacing w:before="50" w:line="237" w:lineRule="auto"/>
        <w:ind w:right="514" w:hanging="360"/>
        <w:rPr>
          <w:w w:val="90"/>
        </w:rPr>
      </w:pPr>
      <w:r w:rsidRPr="008270BA">
        <w:rPr>
          <w:i/>
          <w:w w:val="90"/>
        </w:rPr>
        <w:t>Actividad 2.3.2</w:t>
      </w:r>
      <w:r w:rsidRPr="008270BA">
        <w:rPr>
          <w:w w:val="90"/>
        </w:rPr>
        <w:t>: Aumentar la coordinación de la atención de la salud mental y atención del VIH para PLWH a través de la integración de consultores adicionales de salud conductual utilizando el modelo de Salud Conductual de Atención Primaria (evaluación dirigida, intervención a corto plazo y seguimiento breve).</w:t>
      </w:r>
    </w:p>
    <w:p w14:paraId="739D7445" w14:textId="051A5DFA" w:rsidR="00A36BA5" w:rsidRPr="008270BA" w:rsidRDefault="009D4B53">
      <w:pPr>
        <w:ind w:left="380"/>
        <w:rPr>
          <w:w w:val="90"/>
          <w:sz w:val="14"/>
        </w:rPr>
      </w:pPr>
      <w:r>
        <w:rPr>
          <w:noProof/>
          <w:w w:val="90"/>
        </w:rPr>
        <mc:AlternateContent>
          <mc:Choice Requires="wps">
            <w:drawing>
              <wp:anchor distT="0" distB="0" distL="114300" distR="114300" simplePos="0" relativeHeight="15732224" behindDoc="0" locked="0" layoutInCell="1" allowOverlap="1" wp14:anchorId="5759E64D" wp14:editId="4C481A00">
                <wp:simplePos x="0" y="0"/>
                <wp:positionH relativeFrom="page">
                  <wp:posOffset>914400</wp:posOffset>
                </wp:positionH>
                <wp:positionV relativeFrom="paragraph">
                  <wp:posOffset>143510</wp:posOffset>
                </wp:positionV>
                <wp:extent cx="508000" cy="12700"/>
                <wp:effectExtent l="0" t="0" r="0" b="0"/>
                <wp:wrapNone/>
                <wp:docPr id="26" name="1289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0B10D" id="1289834" o:spid="_x0000_s1026" style="position:absolute;margin-left:1in;margin-top:11.3pt;width:40pt;height:1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" fillcolor="black" stroked="f">
                <w10:wrap anchorx="page"/>
              </v:rect>
            </w:pict>
          </mc:Fallback>
        </mc:AlternateContent>
      </w:r>
      <w:r w:rsidR="008270BA" w:rsidRPr="008270BA">
        <w:rPr>
          <w:w w:val="90"/>
        </w:rPr>
        <w:t>Vivienda</w:t>
      </w:r>
      <w:r w:rsidR="008270BA" w:rsidRPr="00B2692E">
        <w:rPr>
          <w:w w:val="90"/>
          <w:sz w:val="20"/>
          <w:szCs w:val="20"/>
          <w:vertAlign w:val="superscript"/>
        </w:rPr>
        <w:t>3</w:t>
      </w:r>
    </w:p>
    <w:p w14:paraId="7A827AE4" w14:textId="77777777" w:rsidR="00A36BA5" w:rsidRPr="008270BA" w:rsidRDefault="008270BA">
      <w:pPr>
        <w:pStyle w:val="ListParagraph"/>
        <w:numPr>
          <w:ilvl w:val="0"/>
          <w:numId w:val="4"/>
        </w:numPr>
        <w:tabs>
          <w:tab w:val="left" w:pos="903"/>
        </w:tabs>
        <w:spacing w:before="27" w:line="247" w:lineRule="auto"/>
        <w:ind w:right="479" w:hanging="360"/>
        <w:jc w:val="both"/>
        <w:rPr>
          <w:w w:val="90"/>
        </w:rPr>
      </w:pPr>
      <w:r w:rsidRPr="008270BA">
        <w:rPr>
          <w:i/>
          <w:w w:val="90"/>
        </w:rPr>
        <w:t>Actividad 2.3.3</w:t>
      </w:r>
      <w:r w:rsidRPr="008270BA">
        <w:rPr>
          <w:w w:val="90"/>
        </w:rPr>
        <w:t>: Implementar un Programa de Realojamiento Rápido para asistir a las PLWH que experimentan situación de calle a mudarse a una vivienda permanente proporcionando subsidios a corto plazo y aprovechando a los negocios y socios de vivienda existentes y nuevo que hayan participado anteriormente en vivienda para PLWH.</w:t>
      </w:r>
    </w:p>
    <w:p w14:paraId="7AB17888" w14:textId="77777777" w:rsidR="00A36BA5" w:rsidRPr="008270BA" w:rsidRDefault="008270BA">
      <w:pPr>
        <w:pStyle w:val="ListParagraph"/>
        <w:numPr>
          <w:ilvl w:val="0"/>
          <w:numId w:val="4"/>
        </w:numPr>
        <w:tabs>
          <w:tab w:val="left" w:pos="903"/>
        </w:tabs>
        <w:spacing w:before="27" w:line="230" w:lineRule="auto"/>
        <w:ind w:right="1375" w:hanging="360"/>
        <w:rPr>
          <w:w w:val="90"/>
        </w:rPr>
      </w:pPr>
      <w:r w:rsidRPr="008270BA">
        <w:rPr>
          <w:i/>
          <w:w w:val="90"/>
        </w:rPr>
        <w:t xml:space="preserve">Actividad 2.3.4: </w:t>
      </w:r>
      <w:r w:rsidRPr="008270BA">
        <w:rPr>
          <w:w w:val="90"/>
        </w:rPr>
        <w:t>Apoyar las actividades de prevención de indigencia proporcionando asistencia financiera directa de emergencia para el alquiler y servicios públicos.</w:t>
      </w:r>
    </w:p>
    <w:p w14:paraId="0569F56B" w14:textId="77777777" w:rsidR="00A36BA5" w:rsidRPr="008270BA" w:rsidRDefault="008270BA">
      <w:pPr>
        <w:pStyle w:val="ListParagraph"/>
        <w:numPr>
          <w:ilvl w:val="0"/>
          <w:numId w:val="4"/>
        </w:numPr>
        <w:tabs>
          <w:tab w:val="left" w:pos="903"/>
        </w:tabs>
        <w:spacing w:before="55" w:line="230" w:lineRule="auto"/>
        <w:ind w:right="985" w:hanging="360"/>
        <w:rPr>
          <w:w w:val="90"/>
        </w:rPr>
      </w:pPr>
      <w:r w:rsidRPr="008270BA">
        <w:rPr>
          <w:i/>
          <w:w w:val="90"/>
        </w:rPr>
        <w:t xml:space="preserve">Actividad 2.3.5: </w:t>
      </w:r>
      <w:r w:rsidRPr="008270BA">
        <w:rPr>
          <w:w w:val="90"/>
        </w:rPr>
        <w:t>Aumentar la capacidad para albergar a PLWH en situación de calle o con inseguridad de vivienda expandiendo el acceso a vivienda transitoria y a largo plazo.</w:t>
      </w:r>
    </w:p>
    <w:p w14:paraId="4CF8AEA9" w14:textId="77777777" w:rsidR="00A36BA5" w:rsidRPr="008270BA" w:rsidRDefault="008270BA">
      <w:pPr>
        <w:pStyle w:val="ListParagraph"/>
        <w:numPr>
          <w:ilvl w:val="0"/>
          <w:numId w:val="4"/>
        </w:numPr>
        <w:tabs>
          <w:tab w:val="left" w:pos="903"/>
        </w:tabs>
        <w:spacing w:before="35" w:line="230" w:lineRule="auto"/>
        <w:ind w:right="1334" w:hanging="360"/>
        <w:rPr>
          <w:w w:val="90"/>
        </w:rPr>
      </w:pPr>
      <w:r w:rsidRPr="008270BA">
        <w:rPr>
          <w:i/>
          <w:w w:val="90"/>
        </w:rPr>
        <w:t xml:space="preserve">Actividad 2.3.6: </w:t>
      </w:r>
      <w:r w:rsidRPr="008270BA">
        <w:rPr>
          <w:w w:val="90"/>
        </w:rPr>
        <w:t>Asegurar que los gerentes de casos médicos evalúen y aborden la inestabilidad de vivienda al desarrollar y revisar el plan de atención.</w:t>
      </w:r>
    </w:p>
    <w:p w14:paraId="7B516A59" w14:textId="77777777" w:rsidR="00A36BA5" w:rsidRPr="008270BA" w:rsidRDefault="008270BA">
      <w:pPr>
        <w:ind w:left="380"/>
        <w:rPr>
          <w:w w:val="90"/>
        </w:rPr>
      </w:pPr>
      <w:r w:rsidRPr="008270BA">
        <w:rPr>
          <w:w w:val="90"/>
          <w:u w:val="single"/>
        </w:rPr>
        <w:t>Servicios de apoyo</w:t>
      </w:r>
    </w:p>
    <w:p w14:paraId="7D69DA2E" w14:textId="77777777" w:rsidR="00A36BA5" w:rsidRPr="008270BA" w:rsidRDefault="008270BA">
      <w:pPr>
        <w:pStyle w:val="ListParagraph"/>
        <w:numPr>
          <w:ilvl w:val="0"/>
          <w:numId w:val="4"/>
        </w:numPr>
        <w:tabs>
          <w:tab w:val="left" w:pos="903"/>
        </w:tabs>
        <w:spacing w:before="35" w:line="230" w:lineRule="auto"/>
        <w:ind w:right="993" w:hanging="360"/>
        <w:rPr>
          <w:w w:val="90"/>
        </w:rPr>
      </w:pPr>
      <w:r w:rsidRPr="008270BA">
        <w:rPr>
          <w:i/>
          <w:w w:val="90"/>
        </w:rPr>
        <w:t>Actividad 2.3.7</w:t>
      </w:r>
      <w:r w:rsidRPr="008270BA">
        <w:rPr>
          <w:w w:val="90"/>
        </w:rPr>
        <w:t>: Abordar las barreras de transporte para las citas médicas y otros servicios necesarios.</w:t>
      </w:r>
    </w:p>
    <w:p w14:paraId="60E40EAB" w14:textId="77777777" w:rsidR="00A36BA5" w:rsidRPr="008270BA" w:rsidRDefault="008270BA">
      <w:pPr>
        <w:pStyle w:val="ListParagraph"/>
        <w:numPr>
          <w:ilvl w:val="0"/>
          <w:numId w:val="4"/>
        </w:numPr>
        <w:tabs>
          <w:tab w:val="left" w:pos="902"/>
        </w:tabs>
        <w:spacing w:before="27"/>
        <w:ind w:left="901" w:hanging="162"/>
        <w:rPr>
          <w:w w:val="90"/>
        </w:rPr>
      </w:pPr>
      <w:r w:rsidRPr="008270BA">
        <w:rPr>
          <w:i/>
          <w:w w:val="90"/>
        </w:rPr>
        <w:t>Actividad 2.3.8</w:t>
      </w:r>
      <w:r w:rsidRPr="008270BA">
        <w:rPr>
          <w:w w:val="90"/>
        </w:rPr>
        <w:t>: Apoyar la integración de enfoques informados por el trauma para la atención del VIH.</w:t>
      </w:r>
    </w:p>
    <w:p w14:paraId="2813AEFB" w14:textId="77777777" w:rsidR="00A36BA5" w:rsidRPr="008270BA" w:rsidRDefault="008270BA">
      <w:pPr>
        <w:pStyle w:val="ListParagraph"/>
        <w:numPr>
          <w:ilvl w:val="0"/>
          <w:numId w:val="4"/>
        </w:numPr>
        <w:tabs>
          <w:tab w:val="left" w:pos="902"/>
        </w:tabs>
        <w:spacing w:before="28"/>
        <w:ind w:left="901" w:hanging="162"/>
        <w:rPr>
          <w:w w:val="90"/>
        </w:rPr>
      </w:pPr>
      <w:r w:rsidRPr="008270BA">
        <w:rPr>
          <w:i/>
          <w:w w:val="90"/>
        </w:rPr>
        <w:t>Actividad 2.3.9</w:t>
      </w:r>
      <w:r w:rsidRPr="008270BA">
        <w:rPr>
          <w:w w:val="90"/>
        </w:rPr>
        <w:t>: Continuar brindando servicios lingüísticos necesarios.</w:t>
      </w:r>
    </w:p>
    <w:p w14:paraId="162CAC80" w14:textId="0657CDDA" w:rsidR="00A36BA5" w:rsidRPr="008270BA" w:rsidRDefault="008270BA">
      <w:pPr>
        <w:pStyle w:val="ListParagraph"/>
        <w:numPr>
          <w:ilvl w:val="0"/>
          <w:numId w:val="4"/>
        </w:numPr>
        <w:tabs>
          <w:tab w:val="left" w:pos="903"/>
        </w:tabs>
        <w:spacing w:before="16" w:line="230" w:lineRule="auto"/>
        <w:ind w:right="977" w:hanging="360"/>
        <w:rPr>
          <w:w w:val="90"/>
        </w:rPr>
      </w:pPr>
      <w:r w:rsidRPr="008270BA">
        <w:rPr>
          <w:i/>
          <w:w w:val="90"/>
        </w:rPr>
        <w:t>Actividad 2.3.10</w:t>
      </w:r>
      <w:r w:rsidRPr="008270BA">
        <w:rPr>
          <w:w w:val="90"/>
        </w:rPr>
        <w:t>: Proporcionar servicios de apoyo para reducir las barreras individuales para el cumplimiento con el tratamiento (es decir, servicios de comida, asistencia financiera de emergencia y servicios de apoyo para el empleo).</w:t>
      </w:r>
    </w:p>
    <w:p w14:paraId="4AE271C2" w14:textId="77777777" w:rsidR="00D44A46" w:rsidRDefault="00D44A46">
      <w:pPr>
        <w:pStyle w:val="Heading3"/>
        <w:spacing w:before="1"/>
        <w:rPr>
          <w:color w:val="0D0F1A"/>
          <w:w w:val="90"/>
        </w:rPr>
      </w:pPr>
    </w:p>
    <w:p w14:paraId="6C32EF59" w14:textId="77777777" w:rsidR="00A36BA5" w:rsidRPr="008270BA" w:rsidRDefault="008270BA">
      <w:pPr>
        <w:pStyle w:val="Heading3"/>
        <w:spacing w:before="1"/>
        <w:rPr>
          <w:w w:val="90"/>
        </w:rPr>
      </w:pPr>
      <w:r w:rsidRPr="008270BA">
        <w:rPr>
          <w:color w:val="0D0F1A"/>
          <w:w w:val="90"/>
        </w:rPr>
        <w:t>Estrategia 2.4: Empoderar a las personas que viven con VIH para mejorar su salud.</w:t>
      </w:r>
    </w:p>
    <w:p w14:paraId="79151B4B" w14:textId="77777777" w:rsidR="00A36BA5" w:rsidRPr="008270BA" w:rsidRDefault="008270BA">
      <w:pPr>
        <w:pStyle w:val="ListParagraph"/>
        <w:numPr>
          <w:ilvl w:val="0"/>
          <w:numId w:val="4"/>
        </w:numPr>
        <w:tabs>
          <w:tab w:val="left" w:pos="903"/>
        </w:tabs>
        <w:spacing w:line="266" w:lineRule="auto"/>
        <w:ind w:right="707" w:hanging="360"/>
        <w:rPr>
          <w:w w:val="90"/>
        </w:rPr>
      </w:pPr>
      <w:r w:rsidRPr="008270BA">
        <w:rPr>
          <w:w w:val="90"/>
        </w:rPr>
        <w:t>Actividad 2.4.1: Aumentar la visibilidad y fortalecer el conocimiento de las personas que cuentan con seguro mínimo o no tienen seguro sobre el sistema de prestación de servicios financiado por Ryan White para mejorar la retención en la atención.</w:t>
      </w:r>
    </w:p>
    <w:p w14:paraId="39C51717" w14:textId="77777777" w:rsidR="00A36BA5" w:rsidRPr="008270BA" w:rsidRDefault="008270BA">
      <w:pPr>
        <w:pStyle w:val="ListParagraph"/>
        <w:numPr>
          <w:ilvl w:val="0"/>
          <w:numId w:val="4"/>
        </w:numPr>
        <w:tabs>
          <w:tab w:val="left" w:pos="903"/>
        </w:tabs>
        <w:spacing w:before="19" w:line="247" w:lineRule="auto"/>
        <w:ind w:right="748" w:hanging="360"/>
        <w:rPr>
          <w:w w:val="90"/>
        </w:rPr>
      </w:pPr>
      <w:r w:rsidRPr="008270BA">
        <w:rPr>
          <w:w w:val="90"/>
        </w:rPr>
        <w:t>Actividad 2.4.2: Reducir el estigma del VIH incluyendo enfoques de equidad en la salud y humildad cultural en las futuras solicitudes de propuestas para financiamiento que aborden el estigma y los prejuicios iniciados por los proveedores.</w:t>
      </w:r>
    </w:p>
    <w:p w14:paraId="59139729" w14:textId="77777777" w:rsidR="00A36BA5" w:rsidRPr="008270BA" w:rsidRDefault="008270BA">
      <w:pPr>
        <w:pStyle w:val="ListParagraph"/>
        <w:numPr>
          <w:ilvl w:val="0"/>
          <w:numId w:val="4"/>
        </w:numPr>
        <w:tabs>
          <w:tab w:val="left" w:pos="903"/>
        </w:tabs>
        <w:spacing w:before="60" w:line="247" w:lineRule="auto"/>
        <w:ind w:right="1061" w:hanging="360"/>
        <w:rPr>
          <w:w w:val="90"/>
        </w:rPr>
      </w:pPr>
      <w:r w:rsidRPr="008270BA">
        <w:rPr>
          <w:w w:val="90"/>
        </w:rPr>
        <w:t>Actividad 2.4.3: Requerir que los proveedores participen activamente en la continuidad local de atención para garantizar acceso a todos los servicios de apoyo para los pacientes.</w:t>
      </w:r>
    </w:p>
    <w:p w14:paraId="5F9AD683" w14:textId="77777777" w:rsidR="00A36BA5" w:rsidRPr="008270BA" w:rsidRDefault="008270BA">
      <w:pPr>
        <w:pStyle w:val="ListParagraph"/>
        <w:numPr>
          <w:ilvl w:val="0"/>
          <w:numId w:val="4"/>
        </w:numPr>
        <w:tabs>
          <w:tab w:val="left" w:pos="903"/>
        </w:tabs>
        <w:spacing w:before="39" w:line="247" w:lineRule="auto"/>
        <w:ind w:right="809" w:hanging="360"/>
        <w:rPr>
          <w:w w:val="90"/>
        </w:rPr>
      </w:pPr>
      <w:r w:rsidRPr="008270BA">
        <w:rPr>
          <w:w w:val="90"/>
        </w:rPr>
        <w:t>Actividad 2.4.4: Desarrollar y distribuir educación médica para el consumidor basada en los derechos, incluidos kits de herramientas para PLWH.</w:t>
      </w:r>
    </w:p>
    <w:p w14:paraId="52243887" w14:textId="39A2A314" w:rsidR="00A36BA5" w:rsidRPr="008270BA" w:rsidRDefault="008270BA">
      <w:pPr>
        <w:pStyle w:val="ListParagraph"/>
        <w:numPr>
          <w:ilvl w:val="0"/>
          <w:numId w:val="4"/>
        </w:numPr>
        <w:tabs>
          <w:tab w:val="left" w:pos="1099"/>
          <w:tab w:val="left" w:pos="1100"/>
        </w:tabs>
        <w:spacing w:before="60" w:line="256" w:lineRule="auto"/>
        <w:ind w:right="487" w:hanging="360"/>
        <w:rPr>
          <w:w w:val="90"/>
        </w:rPr>
      </w:pPr>
      <w:r w:rsidRPr="008270BA">
        <w:rPr>
          <w:w w:val="90"/>
        </w:rPr>
        <w:t>Actividad 2.4.5: Aumentar la capacidad de los proveedores de atención del VIH financiados por el PDPH para implementar actividades nuevas y expandidas, a través de actividades de asistencia técnica dirigidas para mejorar los resultados de salud de las PLWH.</w:t>
      </w:r>
    </w:p>
    <w:p w14:paraId="5299842F" w14:textId="363C8AF3" w:rsidR="00D44A46" w:rsidRDefault="009D4B53" w:rsidP="00D44A46">
      <w:pPr>
        <w:pStyle w:val="BodyText"/>
        <w:spacing w:before="6"/>
        <w:rPr>
          <w:w w:val="90"/>
          <w:sz w:val="10"/>
        </w:rPr>
      </w:pPr>
      <w:r>
        <w:rPr>
          <w:noProof/>
          <w:w w:val="90"/>
        </w:rPr>
        <mc:AlternateContent>
          <mc:Choice Requires="wps">
            <w:drawing>
              <wp:anchor distT="0" distB="0" distL="0" distR="0" simplePos="0" relativeHeight="487590912" behindDoc="1" locked="0" layoutInCell="1" allowOverlap="1" wp14:anchorId="2EE4EFB7" wp14:editId="7A9EB96D">
                <wp:simplePos x="0" y="0"/>
                <wp:positionH relativeFrom="page">
                  <wp:posOffset>663575</wp:posOffset>
                </wp:positionH>
                <wp:positionV relativeFrom="paragraph">
                  <wp:posOffset>40640</wp:posOffset>
                </wp:positionV>
                <wp:extent cx="1828800" cy="12700"/>
                <wp:effectExtent l="0" t="0" r="0" b="0"/>
                <wp:wrapTopAndBottom/>
                <wp:docPr id="25" name="1337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310FC" id="1337518" o:spid="_x0000_s1026" style="position:absolute;margin-left:52.25pt;margin-top:3.2pt;width:2in;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" fillcolor="black" stroked="f">
                <w10:wrap type="topAndBottom" anchorx="page"/>
              </v:rect>
            </w:pict>
          </mc:Fallback>
        </mc:AlternateContent>
      </w:r>
    </w:p>
    <w:p w14:paraId="6670E38D" w14:textId="77777777" w:rsidR="00A36BA5" w:rsidRPr="008270BA" w:rsidRDefault="008270BA" w:rsidP="00D44A46">
      <w:pPr>
        <w:pStyle w:val="BodyText"/>
        <w:spacing w:before="6"/>
        <w:rPr>
          <w:w w:val="90"/>
          <w:sz w:val="10"/>
        </w:rPr>
      </w:pPr>
      <w:r w:rsidRPr="008270BA">
        <w:rPr>
          <w:w w:val="90"/>
          <w:sz w:val="10"/>
        </w:rPr>
        <w:t>3</w:t>
      </w:r>
    </w:p>
    <w:p w14:paraId="13D68852" w14:textId="11134EF3" w:rsidR="00A36BA5" w:rsidRPr="008270BA" w:rsidRDefault="009D4B53">
      <w:pPr>
        <w:spacing w:before="89" w:line="261" w:lineRule="auto"/>
        <w:ind w:left="380" w:right="344"/>
        <w:rPr>
          <w:w w:val="90"/>
          <w:sz w:val="16"/>
        </w:rPr>
      </w:pPr>
      <w:r>
        <w:rPr>
          <w:noProof/>
        </w:rPr>
        <w:lastRenderedPageBreak/>
        <mc:AlternateContent>
          <mc:Choice Requires="wps">
            <w:drawing>
              <wp:anchor distT="45720" distB="45720" distL="114300" distR="114300" simplePos="0" relativeHeight="487613440" behindDoc="0" locked="0" layoutInCell="1" allowOverlap="1" wp14:anchorId="6A37DABE" wp14:editId="74197E68">
                <wp:simplePos x="0" y="0"/>
                <wp:positionH relativeFrom="column">
                  <wp:posOffset>6123305</wp:posOffset>
                </wp:positionH>
                <wp:positionV relativeFrom="paragraph">
                  <wp:posOffset>196850</wp:posOffset>
                </wp:positionV>
                <wp:extent cx="601980" cy="57150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B1DAC" w14:textId="5782D913" w:rsidR="0089197B" w:rsidRPr="0089197B" w:rsidRDefault="0089197B">
                            <w:pPr>
                              <w:rPr>
                                <w:lang w:val="en-US"/>
                              </w:rPr>
                            </w:pPr>
                            <w:r>
                              <w:t>2</w:t>
                            </w:r>
                            <w:r w:rsidR="002F0576">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37DABE" id="_x0000_s1049" type="#_x0000_t202" style="position:absolute;left:0;text-align:left;margin-left:482.15pt;margin-top:15.5pt;width:47.4pt;height:45pt;z-index:487613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" stroked="f">
                <v:textbox>
                  <w:txbxContent>
                    <w:p w14:paraId="0E9B1DAC" w14:textId="5782D913" w:rsidR="0089197B" w:rsidRPr="0089197B" w:rsidRDefault="0089197B">
                      <w:pPr>
                        <w:rPr>
                          <w:lang w:val="en-US"/>
                        </w:rPr>
                      </w:pPr>
                      <w:r>
                        <w:t>2</w:t>
                      </w:r>
                      <w:r w:rsidR="002F0576">
                        <w:t>9</w:t>
                      </w:r>
                    </w:p>
                  </w:txbxContent>
                </v:textbox>
                <w10:wrap type="square"/>
              </v:shape>
            </w:pict>
          </mc:Fallback>
        </mc:AlternateContent>
      </w:r>
      <w:r w:rsidR="008270BA" w:rsidRPr="008270BA">
        <w:rPr>
          <w:w w:val="90"/>
          <w:sz w:val="16"/>
        </w:rPr>
        <w:t>Nota: Los fondos actuales del PDPH no son suficientes para cubrir las necesidades de vivienda locales. Cuando sea posible, el PDPH trabajará con socios adicionales para abordar la falta urgente de fondos para vivienda.</w:t>
      </w:r>
    </w:p>
    <w:p w14:paraId="28385B14" w14:textId="77777777" w:rsidR="00A36BA5" w:rsidRPr="008270BA" w:rsidRDefault="00A36BA5">
      <w:pPr>
        <w:spacing w:line="261" w:lineRule="auto"/>
        <w:rPr>
          <w:w w:val="90"/>
          <w:sz w:val="16"/>
        </w:rPr>
        <w:sectPr w:rsidR="00A36BA5" w:rsidRPr="008270BA" w:rsidSect="00D44A46">
          <w:pgSz w:w="12240" w:h="15840"/>
          <w:pgMar w:top="1240" w:right="980" w:bottom="993" w:left="1060" w:header="731" w:footer="997" w:gutter="0"/>
          <w:cols w:space="720"/>
        </w:sectPr>
      </w:pPr>
    </w:p>
    <w:p w14:paraId="150AC4F7" w14:textId="77777777" w:rsidR="00A36BA5" w:rsidRPr="008270BA" w:rsidRDefault="008270BA">
      <w:pPr>
        <w:pStyle w:val="ListParagraph"/>
        <w:numPr>
          <w:ilvl w:val="0"/>
          <w:numId w:val="4"/>
        </w:numPr>
        <w:tabs>
          <w:tab w:val="left" w:pos="903"/>
        </w:tabs>
        <w:spacing w:before="213" w:line="266" w:lineRule="auto"/>
        <w:ind w:right="605" w:hanging="360"/>
        <w:rPr>
          <w:w w:val="90"/>
        </w:rPr>
      </w:pPr>
      <w:r w:rsidRPr="008270BA">
        <w:rPr>
          <w:w w:val="90"/>
        </w:rPr>
        <w:lastRenderedPageBreak/>
        <w:t>Actividad 2.4.6: Establecer un tablero público de datos en línea que presente información local relacionada con EHE para Filadelfia que muestre los indicadores de desempeño clave para los proveedores. La información compartida incluirá las métricas de retención y supresión viral para los centros médicos individuales. Proporcionará al PLWH información necesaria para evaluar la atención médica y otros servicios.</w:t>
      </w:r>
    </w:p>
    <w:p w14:paraId="59330222" w14:textId="77777777" w:rsidR="00A36BA5" w:rsidRPr="008270BA" w:rsidRDefault="008270BA">
      <w:pPr>
        <w:pStyle w:val="ListParagraph"/>
        <w:numPr>
          <w:ilvl w:val="0"/>
          <w:numId w:val="4"/>
        </w:numPr>
        <w:tabs>
          <w:tab w:val="left" w:pos="903"/>
        </w:tabs>
        <w:spacing w:before="17" w:line="266" w:lineRule="auto"/>
        <w:ind w:right="745" w:hanging="360"/>
        <w:jc w:val="both"/>
        <w:rPr>
          <w:w w:val="90"/>
        </w:rPr>
      </w:pPr>
      <w:r w:rsidRPr="008270BA">
        <w:rPr>
          <w:w w:val="90"/>
        </w:rPr>
        <w:t>Actividad 2.4.7: Difusión continua de datos a socios comunitarios clave y partes interesadas internas y externas para aumentar el conocimiento, cerrar las brechas de información y empoderar a las PVVS para mejorar su salud.</w:t>
      </w:r>
    </w:p>
    <w:p w14:paraId="14E5BA5B" w14:textId="77777777" w:rsidR="00A36BA5" w:rsidRPr="008270BA" w:rsidRDefault="00A36BA5">
      <w:pPr>
        <w:pStyle w:val="BodyText"/>
        <w:spacing w:before="6"/>
        <w:rPr>
          <w:w w:val="90"/>
          <w:sz w:val="22"/>
        </w:rPr>
      </w:pPr>
    </w:p>
    <w:p w14:paraId="4C2AED08" w14:textId="77777777" w:rsidR="00A36BA5" w:rsidRPr="008270BA" w:rsidRDefault="008270BA">
      <w:pPr>
        <w:spacing w:line="254" w:lineRule="auto"/>
        <w:ind w:left="380" w:right="468"/>
        <w:rPr>
          <w:w w:val="90"/>
        </w:rPr>
      </w:pPr>
      <w:r w:rsidRPr="008270BA">
        <w:rPr>
          <w:b/>
          <w:w w:val="90"/>
        </w:rPr>
        <w:t xml:space="preserve">Socios clave: </w:t>
      </w:r>
      <w:r w:rsidRPr="008270BA">
        <w:rPr>
          <w:w w:val="90"/>
        </w:rPr>
        <w:t>AACO del PDPH, División de Control de Enfermedades del PDPH, Oficina de Planificación relativa al VIH, Consejo de Planificación Integrada de EMA de Filadelfia (</w:t>
      </w:r>
      <w:proofErr w:type="spellStart"/>
      <w:r w:rsidRPr="008270BA">
        <w:rPr>
          <w:w w:val="90"/>
        </w:rPr>
        <w:t>Philadelphia</w:t>
      </w:r>
      <w:proofErr w:type="spellEnd"/>
      <w:r w:rsidRPr="008270BA">
        <w:rPr>
          <w:w w:val="90"/>
        </w:rPr>
        <w:t xml:space="preserve"> EMA </w:t>
      </w:r>
      <w:proofErr w:type="spellStart"/>
      <w:r w:rsidRPr="008270BA">
        <w:rPr>
          <w:w w:val="90"/>
        </w:rPr>
        <w:t>Integrated</w:t>
      </w:r>
      <w:proofErr w:type="spellEnd"/>
      <w:r w:rsidRPr="008270BA">
        <w:rPr>
          <w:w w:val="90"/>
        </w:rPr>
        <w:t xml:space="preserve"> </w:t>
      </w:r>
      <w:proofErr w:type="spellStart"/>
      <w:r w:rsidRPr="008270BA">
        <w:rPr>
          <w:w w:val="90"/>
        </w:rPr>
        <w:t>Planning</w:t>
      </w:r>
      <w:proofErr w:type="spellEnd"/>
      <w:r w:rsidRPr="008270BA">
        <w:rPr>
          <w:w w:val="90"/>
        </w:rPr>
        <w:t xml:space="preserve"> Council), proveedores clínicos, centros de atención médica, proveedores basados en la comunidad, Oficina para la Prevención de la Indigencia, División de Viviendas y Desarrollo Comunitario (</w:t>
      </w:r>
      <w:proofErr w:type="spellStart"/>
      <w:r w:rsidRPr="008270BA">
        <w:rPr>
          <w:w w:val="90"/>
        </w:rPr>
        <w:t>Division</w:t>
      </w:r>
      <w:proofErr w:type="spellEnd"/>
      <w:r w:rsidRPr="008270BA">
        <w:rPr>
          <w:w w:val="90"/>
        </w:rPr>
        <w:t xml:space="preserve"> </w:t>
      </w:r>
      <w:proofErr w:type="spellStart"/>
      <w:r w:rsidRPr="008270BA">
        <w:rPr>
          <w:w w:val="90"/>
        </w:rPr>
        <w:t>of</w:t>
      </w:r>
      <w:proofErr w:type="spellEnd"/>
      <w:r w:rsidRPr="008270BA">
        <w:rPr>
          <w:w w:val="90"/>
        </w:rPr>
        <w:t xml:space="preserve"> </w:t>
      </w:r>
      <w:proofErr w:type="spellStart"/>
      <w:r w:rsidRPr="008270BA">
        <w:rPr>
          <w:w w:val="90"/>
        </w:rPr>
        <w:t>Housing</w:t>
      </w:r>
      <w:proofErr w:type="spellEnd"/>
      <w:r w:rsidRPr="008270BA">
        <w:rPr>
          <w:w w:val="90"/>
        </w:rPr>
        <w:t xml:space="preserve"> and </w:t>
      </w:r>
      <w:proofErr w:type="spellStart"/>
      <w:r w:rsidRPr="008270BA">
        <w:rPr>
          <w:w w:val="90"/>
        </w:rPr>
        <w:t>Community</w:t>
      </w:r>
      <w:proofErr w:type="spellEnd"/>
      <w:r w:rsidRPr="008270BA">
        <w:rPr>
          <w:w w:val="90"/>
        </w:rPr>
        <w:t xml:space="preserve"> </w:t>
      </w:r>
      <w:proofErr w:type="spellStart"/>
      <w:r w:rsidRPr="008270BA">
        <w:rPr>
          <w:w w:val="90"/>
        </w:rPr>
        <w:t>Development</w:t>
      </w:r>
      <w:proofErr w:type="spellEnd"/>
      <w:r w:rsidRPr="008270BA">
        <w:rPr>
          <w:w w:val="90"/>
        </w:rPr>
        <w:t xml:space="preserve">), Departamento de Salud Mental y Servicios de Discapacidad Intelectual, Servicios de Salud de la Prisión del Condado de Filadelfia, </w:t>
      </w:r>
      <w:proofErr w:type="spellStart"/>
      <w:r w:rsidRPr="008270BA">
        <w:rPr>
          <w:w w:val="90"/>
        </w:rPr>
        <w:t>Prevention</w:t>
      </w:r>
      <w:proofErr w:type="spellEnd"/>
      <w:r w:rsidRPr="008270BA">
        <w:rPr>
          <w:w w:val="90"/>
        </w:rPr>
        <w:t xml:space="preserve"> Point </w:t>
      </w:r>
      <w:proofErr w:type="spellStart"/>
      <w:r w:rsidRPr="008270BA">
        <w:rPr>
          <w:w w:val="90"/>
        </w:rPr>
        <w:t>Philadelphia</w:t>
      </w:r>
      <w:proofErr w:type="spellEnd"/>
      <w:r w:rsidRPr="008270BA">
        <w:rPr>
          <w:w w:val="90"/>
        </w:rPr>
        <w:t xml:space="preserve">, Autoridad de Transporte del Sudeste de Pensilvania, Oficina del Alcalde, Proyecto de Ley sobre el SIDA </w:t>
      </w:r>
      <w:r w:rsidRPr="008270BA">
        <w:rPr>
          <w:b/>
          <w:w w:val="90"/>
        </w:rPr>
        <w:t xml:space="preserve">Posibles recursos de financiación: </w:t>
      </w:r>
      <w:r w:rsidRPr="008270BA">
        <w:rPr>
          <w:w w:val="90"/>
        </w:rPr>
        <w:t xml:space="preserve">Programa de VIH/SIDA de Ryan White , Iniciativa EHE de HRSA, Oficina de Atención Primaria de HRSA, Medicaid, Medicare, aseguradoras de salud privadas, DOH de PA y otros recursos públicos y privados </w:t>
      </w:r>
      <w:r w:rsidRPr="008270BA">
        <w:rPr>
          <w:b/>
          <w:w w:val="90"/>
        </w:rPr>
        <w:t xml:space="preserve">Asignación de fondos estimada: </w:t>
      </w:r>
      <w:r w:rsidRPr="008270BA">
        <w:rPr>
          <w:w w:val="90"/>
        </w:rPr>
        <w:t>Fondos actuales del PDPH: $28,095,566; Adicional necesario estimado para implementar el plan: $9,000,000 el primer año a $12,660,706 en el año 5. Los fondos actuales no apoyarán todas las actividades necesarias para alcanzar las metas.</w:t>
      </w:r>
    </w:p>
    <w:p w14:paraId="25D419AF" w14:textId="77777777" w:rsidR="00A36BA5" w:rsidRPr="008270BA" w:rsidRDefault="008270BA">
      <w:pPr>
        <w:spacing w:before="118"/>
        <w:ind w:left="380"/>
        <w:rPr>
          <w:b/>
          <w:w w:val="90"/>
        </w:rPr>
      </w:pPr>
      <w:r w:rsidRPr="008270BA">
        <w:rPr>
          <w:b/>
          <w:w w:val="90"/>
        </w:rPr>
        <w:t>Resultados:</w:t>
      </w:r>
    </w:p>
    <w:p w14:paraId="54EA16E1" w14:textId="77777777" w:rsidR="00A36BA5" w:rsidRPr="008270BA" w:rsidRDefault="008270BA">
      <w:pPr>
        <w:spacing w:before="27"/>
        <w:ind w:left="380"/>
        <w:rPr>
          <w:w w:val="90"/>
        </w:rPr>
      </w:pPr>
      <w:r w:rsidRPr="008270BA">
        <w:rPr>
          <w:color w:val="31302F"/>
          <w:w w:val="90"/>
        </w:rPr>
        <w:t>El número de PLWH que alcanzarán la supresión viral durante los cinco años:</w:t>
      </w:r>
    </w:p>
    <w:p w14:paraId="337C9A71" w14:textId="77777777" w:rsidR="00A36BA5" w:rsidRPr="008270BA" w:rsidRDefault="00A36BA5">
      <w:pPr>
        <w:pStyle w:val="BodyText"/>
        <w:spacing w:before="3"/>
        <w:rPr>
          <w:w w:val="90"/>
          <w:sz w:val="27"/>
        </w:rPr>
      </w:pPr>
    </w:p>
    <w:tbl>
      <w:tblPr>
        <w:tblStyle w:val="TableNormal1"/>
        <w:tblW w:w="0" w:type="auto"/>
        <w:tblInd w:w="2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40"/>
        <w:gridCol w:w="2400"/>
      </w:tblGrid>
      <w:tr w:rsidR="00A36BA5" w:rsidRPr="008270BA" w14:paraId="31EF8639" w14:textId="77777777">
        <w:trPr>
          <w:trHeight w:val="580"/>
        </w:trPr>
        <w:tc>
          <w:tcPr>
            <w:tcW w:w="4740" w:type="dxa"/>
            <w:gridSpan w:val="2"/>
            <w:shd w:val="clear" w:color="auto" w:fill="001F5F"/>
          </w:tcPr>
          <w:p w14:paraId="4E3DBFAF" w14:textId="77777777" w:rsidR="00A36BA5" w:rsidRPr="008270BA" w:rsidRDefault="008270BA">
            <w:pPr>
              <w:pStyle w:val="TableParagraph"/>
              <w:spacing w:before="0" w:line="242" w:lineRule="auto"/>
              <w:ind w:left="302" w:right="59" w:firstLine="31"/>
              <w:rPr>
                <w:b/>
                <w:w w:val="90"/>
                <w:sz w:val="24"/>
              </w:rPr>
            </w:pPr>
            <w:r w:rsidRPr="008270BA">
              <w:rPr>
                <w:b/>
                <w:color w:val="FFFFFF"/>
                <w:w w:val="90"/>
                <w:sz w:val="24"/>
              </w:rPr>
              <w:t>Tabla 5. Número de PLWH en Filadelfia que alcanzarán la supresión viral por año</w:t>
            </w:r>
          </w:p>
        </w:tc>
      </w:tr>
      <w:tr w:rsidR="00A36BA5" w:rsidRPr="008270BA" w14:paraId="2DA17675" w14:textId="77777777">
        <w:trPr>
          <w:trHeight w:val="420"/>
        </w:trPr>
        <w:tc>
          <w:tcPr>
            <w:tcW w:w="2340" w:type="dxa"/>
            <w:shd w:val="clear" w:color="auto" w:fill="D9D9D9"/>
          </w:tcPr>
          <w:p w14:paraId="4CFD16E4" w14:textId="77777777" w:rsidR="00A36BA5" w:rsidRPr="008270BA" w:rsidRDefault="008270BA">
            <w:pPr>
              <w:pStyle w:val="TableParagraph"/>
              <w:ind w:left="117"/>
              <w:rPr>
                <w:b/>
                <w:w w:val="90"/>
                <w:sz w:val="24"/>
              </w:rPr>
            </w:pPr>
            <w:r w:rsidRPr="008270BA">
              <w:rPr>
                <w:b/>
                <w:w w:val="90"/>
                <w:sz w:val="24"/>
              </w:rPr>
              <w:t>Año</w:t>
            </w:r>
          </w:p>
        </w:tc>
        <w:tc>
          <w:tcPr>
            <w:tcW w:w="2400" w:type="dxa"/>
            <w:shd w:val="clear" w:color="auto" w:fill="D9D9D9"/>
          </w:tcPr>
          <w:p w14:paraId="24640F08" w14:textId="77777777" w:rsidR="00A36BA5" w:rsidRPr="008270BA" w:rsidRDefault="008270BA">
            <w:pPr>
              <w:pStyle w:val="TableParagraph"/>
              <w:ind w:left="827" w:right="777"/>
              <w:jc w:val="center"/>
              <w:rPr>
                <w:b/>
                <w:w w:val="90"/>
                <w:sz w:val="24"/>
              </w:rPr>
            </w:pPr>
            <w:r w:rsidRPr="008270BA">
              <w:rPr>
                <w:b/>
                <w:w w:val="90"/>
                <w:sz w:val="24"/>
              </w:rPr>
              <w:t>PLWH</w:t>
            </w:r>
          </w:p>
        </w:tc>
      </w:tr>
      <w:tr w:rsidR="00A36BA5" w:rsidRPr="008270BA" w14:paraId="0B981931" w14:textId="77777777">
        <w:trPr>
          <w:trHeight w:val="420"/>
        </w:trPr>
        <w:tc>
          <w:tcPr>
            <w:tcW w:w="2340" w:type="dxa"/>
            <w:shd w:val="clear" w:color="auto" w:fill="D9D9D9"/>
          </w:tcPr>
          <w:p w14:paraId="264A2419" w14:textId="77777777" w:rsidR="00A36BA5" w:rsidRPr="008270BA" w:rsidRDefault="008270BA">
            <w:pPr>
              <w:pStyle w:val="TableParagraph"/>
              <w:ind w:left="117"/>
              <w:rPr>
                <w:i/>
                <w:w w:val="90"/>
                <w:sz w:val="24"/>
              </w:rPr>
            </w:pPr>
            <w:r w:rsidRPr="008270BA">
              <w:rPr>
                <w:i/>
                <w:w w:val="90"/>
                <w:sz w:val="24"/>
              </w:rPr>
              <w:t>Línea de referencia (2019)</w:t>
            </w:r>
          </w:p>
        </w:tc>
        <w:tc>
          <w:tcPr>
            <w:tcW w:w="2400" w:type="dxa"/>
            <w:shd w:val="clear" w:color="auto" w:fill="D9D9D9"/>
          </w:tcPr>
          <w:p w14:paraId="05579266" w14:textId="77777777" w:rsidR="00A36BA5" w:rsidRPr="008270BA" w:rsidRDefault="008270BA">
            <w:pPr>
              <w:pStyle w:val="TableParagraph"/>
              <w:ind w:left="827" w:right="778"/>
              <w:jc w:val="center"/>
              <w:rPr>
                <w:i/>
                <w:w w:val="90"/>
                <w:sz w:val="24"/>
              </w:rPr>
            </w:pPr>
            <w:r w:rsidRPr="008270BA">
              <w:rPr>
                <w:i/>
                <w:w w:val="90"/>
                <w:sz w:val="24"/>
              </w:rPr>
              <w:t>11,175</w:t>
            </w:r>
          </w:p>
        </w:tc>
      </w:tr>
      <w:tr w:rsidR="00A36BA5" w:rsidRPr="008270BA" w14:paraId="4C919EBF" w14:textId="77777777">
        <w:trPr>
          <w:trHeight w:val="420"/>
        </w:trPr>
        <w:tc>
          <w:tcPr>
            <w:tcW w:w="2340" w:type="dxa"/>
          </w:tcPr>
          <w:p w14:paraId="650B20E0" w14:textId="77777777" w:rsidR="00A36BA5" w:rsidRPr="008270BA" w:rsidRDefault="008270BA">
            <w:pPr>
              <w:pStyle w:val="TableParagraph"/>
              <w:ind w:left="117"/>
              <w:rPr>
                <w:w w:val="90"/>
                <w:sz w:val="24"/>
              </w:rPr>
            </w:pPr>
            <w:r w:rsidRPr="008270BA">
              <w:rPr>
                <w:w w:val="90"/>
                <w:sz w:val="24"/>
              </w:rPr>
              <w:t>Año 1</w:t>
            </w:r>
          </w:p>
        </w:tc>
        <w:tc>
          <w:tcPr>
            <w:tcW w:w="2400" w:type="dxa"/>
          </w:tcPr>
          <w:p w14:paraId="76F9146D" w14:textId="77777777" w:rsidR="00A36BA5" w:rsidRPr="008270BA" w:rsidRDefault="008270BA">
            <w:pPr>
              <w:pStyle w:val="TableParagraph"/>
              <w:ind w:left="827" w:right="778"/>
              <w:jc w:val="center"/>
              <w:rPr>
                <w:w w:val="90"/>
                <w:sz w:val="24"/>
              </w:rPr>
            </w:pPr>
            <w:r w:rsidRPr="008270BA">
              <w:rPr>
                <w:w w:val="90"/>
                <w:sz w:val="24"/>
              </w:rPr>
              <w:t>11,175</w:t>
            </w:r>
          </w:p>
        </w:tc>
      </w:tr>
      <w:tr w:rsidR="00A36BA5" w:rsidRPr="008270BA" w14:paraId="3D177BE1" w14:textId="77777777">
        <w:trPr>
          <w:trHeight w:val="420"/>
        </w:trPr>
        <w:tc>
          <w:tcPr>
            <w:tcW w:w="2340" w:type="dxa"/>
          </w:tcPr>
          <w:p w14:paraId="0983D6B0" w14:textId="77777777" w:rsidR="00A36BA5" w:rsidRPr="008270BA" w:rsidRDefault="008270BA">
            <w:pPr>
              <w:pStyle w:val="TableParagraph"/>
              <w:spacing w:before="75"/>
              <w:ind w:left="117"/>
              <w:rPr>
                <w:w w:val="90"/>
                <w:sz w:val="24"/>
              </w:rPr>
            </w:pPr>
            <w:r w:rsidRPr="008270BA">
              <w:rPr>
                <w:w w:val="90"/>
                <w:sz w:val="24"/>
              </w:rPr>
              <w:t>Año 2</w:t>
            </w:r>
          </w:p>
        </w:tc>
        <w:tc>
          <w:tcPr>
            <w:tcW w:w="2400" w:type="dxa"/>
          </w:tcPr>
          <w:p w14:paraId="21CFD47D" w14:textId="77777777" w:rsidR="00A36BA5" w:rsidRPr="008270BA" w:rsidRDefault="008270BA">
            <w:pPr>
              <w:pStyle w:val="TableParagraph"/>
              <w:spacing w:before="75"/>
              <w:ind w:left="827" w:right="778"/>
              <w:jc w:val="center"/>
              <w:rPr>
                <w:w w:val="90"/>
                <w:sz w:val="24"/>
              </w:rPr>
            </w:pPr>
            <w:r w:rsidRPr="008270BA">
              <w:rPr>
                <w:w w:val="90"/>
                <w:sz w:val="24"/>
              </w:rPr>
              <w:t>12,196</w:t>
            </w:r>
          </w:p>
        </w:tc>
      </w:tr>
      <w:tr w:rsidR="00A36BA5" w:rsidRPr="008270BA" w14:paraId="3A426A5E" w14:textId="77777777">
        <w:trPr>
          <w:trHeight w:val="420"/>
        </w:trPr>
        <w:tc>
          <w:tcPr>
            <w:tcW w:w="2340" w:type="dxa"/>
          </w:tcPr>
          <w:p w14:paraId="48F8309E" w14:textId="77777777" w:rsidR="00A36BA5" w:rsidRPr="008270BA" w:rsidRDefault="008270BA">
            <w:pPr>
              <w:pStyle w:val="TableParagraph"/>
              <w:spacing w:before="75"/>
              <w:ind w:left="117"/>
              <w:rPr>
                <w:w w:val="90"/>
                <w:sz w:val="24"/>
              </w:rPr>
            </w:pPr>
            <w:r w:rsidRPr="008270BA">
              <w:rPr>
                <w:w w:val="90"/>
                <w:sz w:val="24"/>
              </w:rPr>
              <w:t>Año 3</w:t>
            </w:r>
          </w:p>
        </w:tc>
        <w:tc>
          <w:tcPr>
            <w:tcW w:w="2400" w:type="dxa"/>
          </w:tcPr>
          <w:p w14:paraId="746DFAFB" w14:textId="77777777" w:rsidR="00A36BA5" w:rsidRPr="008270BA" w:rsidRDefault="008270BA">
            <w:pPr>
              <w:pStyle w:val="TableParagraph"/>
              <w:spacing w:before="75"/>
              <w:ind w:left="827" w:right="778"/>
              <w:jc w:val="center"/>
              <w:rPr>
                <w:w w:val="90"/>
                <w:sz w:val="24"/>
              </w:rPr>
            </w:pPr>
            <w:r w:rsidRPr="008270BA">
              <w:rPr>
                <w:w w:val="90"/>
                <w:sz w:val="24"/>
              </w:rPr>
              <w:t>13,218</w:t>
            </w:r>
          </w:p>
        </w:tc>
      </w:tr>
      <w:tr w:rsidR="00A36BA5" w:rsidRPr="008270BA" w14:paraId="761EC2F2" w14:textId="77777777">
        <w:trPr>
          <w:trHeight w:val="420"/>
        </w:trPr>
        <w:tc>
          <w:tcPr>
            <w:tcW w:w="2340" w:type="dxa"/>
          </w:tcPr>
          <w:p w14:paraId="20F7634E" w14:textId="77777777" w:rsidR="00A36BA5" w:rsidRPr="008270BA" w:rsidRDefault="008270BA">
            <w:pPr>
              <w:pStyle w:val="TableParagraph"/>
              <w:spacing w:before="75"/>
              <w:ind w:left="117"/>
              <w:rPr>
                <w:w w:val="90"/>
                <w:sz w:val="24"/>
              </w:rPr>
            </w:pPr>
            <w:r w:rsidRPr="008270BA">
              <w:rPr>
                <w:w w:val="90"/>
                <w:sz w:val="24"/>
              </w:rPr>
              <w:t>Año 4</w:t>
            </w:r>
          </w:p>
        </w:tc>
        <w:tc>
          <w:tcPr>
            <w:tcW w:w="2400" w:type="dxa"/>
          </w:tcPr>
          <w:p w14:paraId="4DA961EE" w14:textId="77777777" w:rsidR="00A36BA5" w:rsidRPr="008270BA" w:rsidRDefault="008270BA">
            <w:pPr>
              <w:pStyle w:val="TableParagraph"/>
              <w:spacing w:before="75"/>
              <w:ind w:left="827" w:right="778"/>
              <w:jc w:val="center"/>
              <w:rPr>
                <w:w w:val="90"/>
                <w:sz w:val="24"/>
              </w:rPr>
            </w:pPr>
            <w:r w:rsidRPr="008270BA">
              <w:rPr>
                <w:w w:val="90"/>
                <w:sz w:val="24"/>
              </w:rPr>
              <w:t>14,239</w:t>
            </w:r>
          </w:p>
        </w:tc>
      </w:tr>
      <w:tr w:rsidR="00A36BA5" w:rsidRPr="008270BA" w14:paraId="62D10E90" w14:textId="77777777">
        <w:trPr>
          <w:trHeight w:val="420"/>
        </w:trPr>
        <w:tc>
          <w:tcPr>
            <w:tcW w:w="2340" w:type="dxa"/>
          </w:tcPr>
          <w:p w14:paraId="1529B5CD" w14:textId="77777777" w:rsidR="00A36BA5" w:rsidRPr="008270BA" w:rsidRDefault="008270BA">
            <w:pPr>
              <w:pStyle w:val="TableParagraph"/>
              <w:spacing w:before="75"/>
              <w:ind w:left="117"/>
              <w:rPr>
                <w:w w:val="90"/>
                <w:sz w:val="24"/>
              </w:rPr>
            </w:pPr>
            <w:r w:rsidRPr="008270BA">
              <w:rPr>
                <w:w w:val="90"/>
                <w:sz w:val="24"/>
              </w:rPr>
              <w:t>Año 5 *</w:t>
            </w:r>
          </w:p>
        </w:tc>
        <w:tc>
          <w:tcPr>
            <w:tcW w:w="2400" w:type="dxa"/>
          </w:tcPr>
          <w:p w14:paraId="7C3044EC" w14:textId="77777777" w:rsidR="00A36BA5" w:rsidRPr="008270BA" w:rsidRDefault="008270BA">
            <w:pPr>
              <w:pStyle w:val="TableParagraph"/>
              <w:spacing w:before="75"/>
              <w:ind w:left="827" w:right="778"/>
              <w:jc w:val="center"/>
              <w:rPr>
                <w:w w:val="90"/>
                <w:sz w:val="24"/>
              </w:rPr>
            </w:pPr>
            <w:r w:rsidRPr="008270BA">
              <w:rPr>
                <w:w w:val="90"/>
                <w:sz w:val="24"/>
              </w:rPr>
              <w:t>15,260</w:t>
            </w:r>
          </w:p>
        </w:tc>
      </w:tr>
      <w:tr w:rsidR="00A36BA5" w:rsidRPr="008270BA" w14:paraId="75EEF4F8" w14:textId="77777777">
        <w:trPr>
          <w:trHeight w:val="580"/>
        </w:trPr>
        <w:tc>
          <w:tcPr>
            <w:tcW w:w="4740" w:type="dxa"/>
            <w:gridSpan w:val="2"/>
          </w:tcPr>
          <w:p w14:paraId="09289BD5" w14:textId="77777777" w:rsidR="00A36BA5" w:rsidRPr="008270BA" w:rsidRDefault="008270BA">
            <w:pPr>
              <w:pStyle w:val="TableParagraph"/>
              <w:spacing w:before="0" w:line="242" w:lineRule="auto"/>
              <w:ind w:left="117" w:right="59"/>
              <w:rPr>
                <w:w w:val="90"/>
                <w:sz w:val="24"/>
              </w:rPr>
            </w:pPr>
            <w:r w:rsidRPr="008270BA">
              <w:rPr>
                <w:w w:val="90"/>
                <w:sz w:val="24"/>
              </w:rPr>
              <w:t>* Al finalizar el período de 5 años, no habrá disparidades en la supresión viral.</w:t>
            </w:r>
          </w:p>
        </w:tc>
      </w:tr>
    </w:tbl>
    <w:p w14:paraId="6B38CFF1" w14:textId="77777777" w:rsidR="00A36BA5" w:rsidRPr="008270BA" w:rsidRDefault="00A36BA5">
      <w:pPr>
        <w:pStyle w:val="BodyText"/>
        <w:spacing w:before="6"/>
        <w:rPr>
          <w:w w:val="90"/>
          <w:sz w:val="25"/>
        </w:rPr>
      </w:pPr>
    </w:p>
    <w:p w14:paraId="7D8E4882" w14:textId="77777777" w:rsidR="00A36BA5" w:rsidRPr="008270BA" w:rsidRDefault="008270BA">
      <w:pPr>
        <w:ind w:left="380"/>
        <w:rPr>
          <w:w w:val="90"/>
        </w:rPr>
      </w:pPr>
      <w:r w:rsidRPr="008270BA">
        <w:rPr>
          <w:b/>
          <w:w w:val="90"/>
        </w:rPr>
        <w:t xml:space="preserve">Fuente de datos de monitoreo: </w:t>
      </w:r>
      <w:r w:rsidRPr="008270BA">
        <w:rPr>
          <w:w w:val="90"/>
        </w:rPr>
        <w:t xml:space="preserve">Datos de Salud Pública del VIH del PDPH, AACO del PDPH, </w:t>
      </w:r>
      <w:proofErr w:type="spellStart"/>
      <w:r w:rsidRPr="008270BA">
        <w:rPr>
          <w:w w:val="90"/>
        </w:rPr>
        <w:t>CAREWare</w:t>
      </w:r>
      <w:proofErr w:type="spellEnd"/>
    </w:p>
    <w:p w14:paraId="56809C16" w14:textId="431ABC9E" w:rsidR="00A36BA5" w:rsidRPr="008270BA" w:rsidRDefault="009D4B53">
      <w:pPr>
        <w:rPr>
          <w:w w:val="90"/>
        </w:rPr>
        <w:sectPr w:rsidR="00A36BA5" w:rsidRPr="008270BA">
          <w:pgSz w:w="12240" w:h="15840"/>
          <w:pgMar w:top="1240" w:right="980" w:bottom="1280" w:left="1060" w:header="731" w:footer="997" w:gutter="0"/>
          <w:cols w:space="720"/>
        </w:sectPr>
      </w:pPr>
      <w:r>
        <w:rPr>
          <w:noProof/>
        </w:rPr>
        <mc:AlternateContent>
          <mc:Choice Requires="wps">
            <w:drawing>
              <wp:anchor distT="45720" distB="45720" distL="114300" distR="114300" simplePos="0" relativeHeight="487620608" behindDoc="0" locked="0" layoutInCell="1" allowOverlap="1" wp14:anchorId="042F2918" wp14:editId="68814AAD">
                <wp:simplePos x="0" y="0"/>
                <wp:positionH relativeFrom="column">
                  <wp:posOffset>5953760</wp:posOffset>
                </wp:positionH>
                <wp:positionV relativeFrom="paragraph">
                  <wp:posOffset>662940</wp:posOffset>
                </wp:positionV>
                <wp:extent cx="405765" cy="25209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B1194" w14:textId="732715AA" w:rsidR="002F0576" w:rsidRPr="002F0576" w:rsidRDefault="002F0576" w:rsidP="002F0576">
                            <w:pPr>
                              <w:rPr>
                                <w:lang w:val="en-US"/>
                              </w:rPr>
                            </w:pPr>
                            <w:r>
                              <w:t>30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2F2918" id="_x0000_s1050" type="#_x0000_t202" style="position:absolute;margin-left:468.8pt;margin-top:52.2pt;width:31.95pt;height:19.85pt;z-index:487620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" stroked="f">
                <v:textbox style="mso-fit-shape-to-text:t">
                  <w:txbxContent>
                    <w:p w14:paraId="05AB1194" w14:textId="732715AA" w:rsidR="002F0576" w:rsidRPr="002F0576" w:rsidRDefault="002F0576" w:rsidP="002F0576">
                      <w:pPr>
                        <w:rPr>
                          <w:lang w:val="en-US"/>
                        </w:rPr>
                      </w:pPr>
                      <w:r>
                        <w:t>30</w:t>
                      </w:r>
                    </w:p>
                  </w:txbxContent>
                </v:textbox>
                <w10:wrap type="square"/>
              </v:shape>
            </w:pict>
          </mc:Fallback>
        </mc:AlternateContent>
      </w:r>
    </w:p>
    <w:p w14:paraId="1EF0D162" w14:textId="77777777" w:rsidR="00A36BA5" w:rsidRPr="008270BA" w:rsidRDefault="008270BA">
      <w:pPr>
        <w:pStyle w:val="Heading2"/>
        <w:rPr>
          <w:w w:val="90"/>
        </w:rPr>
      </w:pPr>
      <w:bookmarkStart w:id="17" w:name="_TOC_250007"/>
      <w:r w:rsidRPr="008270BA">
        <w:rPr>
          <w:w w:val="90"/>
        </w:rPr>
        <w:lastRenderedPageBreak/>
        <w:t xml:space="preserve">Pilar 3: </w:t>
      </w:r>
      <w:bookmarkEnd w:id="17"/>
      <w:r w:rsidRPr="008270BA">
        <w:rPr>
          <w:w w:val="90"/>
        </w:rPr>
        <w:t>Prevenir</w:t>
      </w:r>
    </w:p>
    <w:p w14:paraId="179D6AD4" w14:textId="77777777" w:rsidR="00A36BA5" w:rsidRPr="008270BA" w:rsidRDefault="00A36BA5">
      <w:pPr>
        <w:pStyle w:val="BodyText"/>
        <w:spacing w:before="4"/>
        <w:rPr>
          <w:w w:val="90"/>
          <w:sz w:val="27"/>
        </w:rPr>
      </w:pPr>
    </w:p>
    <w:p w14:paraId="0D1812C6" w14:textId="77777777" w:rsidR="00A36BA5" w:rsidRPr="008270BA" w:rsidRDefault="008270BA">
      <w:pPr>
        <w:pStyle w:val="Heading4"/>
        <w:spacing w:line="261" w:lineRule="auto"/>
        <w:ind w:left="573" w:right="656"/>
        <w:rPr>
          <w:w w:val="90"/>
        </w:rPr>
      </w:pPr>
      <w:r w:rsidRPr="008270BA">
        <w:rPr>
          <w:w w:val="90"/>
        </w:rPr>
        <w:t xml:space="preserve">Meta 3: Para 2025, el 50% de las personas con indicación PrEP se les indicará PrEP, y el 100% de las personas que buscan </w:t>
      </w:r>
      <w:proofErr w:type="spellStart"/>
      <w:r w:rsidRPr="008270BA">
        <w:rPr>
          <w:w w:val="90"/>
        </w:rPr>
        <w:t>nPEP</w:t>
      </w:r>
      <w:proofErr w:type="spellEnd"/>
      <w:r w:rsidRPr="008270BA">
        <w:rPr>
          <w:w w:val="90"/>
        </w:rPr>
        <w:t xml:space="preserve"> se les indicará tratamiento.</w:t>
      </w:r>
    </w:p>
    <w:p w14:paraId="6F94DB8B" w14:textId="77777777" w:rsidR="00A36BA5" w:rsidRPr="008270BA" w:rsidRDefault="00A36BA5">
      <w:pPr>
        <w:pStyle w:val="BodyText"/>
        <w:spacing w:before="2"/>
        <w:rPr>
          <w:rFonts w:ascii="Arial-BoldItalicMT"/>
          <w:b/>
          <w:i/>
          <w:w w:val="90"/>
        </w:rPr>
      </w:pPr>
    </w:p>
    <w:p w14:paraId="3CB74461" w14:textId="77777777" w:rsidR="00A36BA5" w:rsidRPr="008270BA" w:rsidRDefault="008270BA">
      <w:pPr>
        <w:pStyle w:val="Heading3"/>
        <w:spacing w:line="261" w:lineRule="auto"/>
        <w:ind w:right="1378"/>
        <w:rPr>
          <w:w w:val="90"/>
        </w:rPr>
      </w:pPr>
      <w:r w:rsidRPr="008270BA">
        <w:rPr>
          <w:w w:val="90"/>
        </w:rPr>
        <w:t>Estrategia 3.1: Aumentar el acceso a profilaxis previa y posterior a la exposición (PrEP/</w:t>
      </w:r>
      <w:proofErr w:type="spellStart"/>
      <w:r w:rsidRPr="008270BA">
        <w:rPr>
          <w:w w:val="90"/>
        </w:rPr>
        <w:t>nPEP</w:t>
      </w:r>
      <w:proofErr w:type="spellEnd"/>
      <w:r w:rsidRPr="008270BA">
        <w:rPr>
          <w:w w:val="90"/>
        </w:rPr>
        <w:t>) de alcance para todos para poblaciones de prioridad.</w:t>
      </w:r>
    </w:p>
    <w:p w14:paraId="5DC711D5" w14:textId="77777777" w:rsidR="00A36BA5" w:rsidRPr="008270BA" w:rsidRDefault="008270BA">
      <w:pPr>
        <w:pStyle w:val="ListParagraph"/>
        <w:numPr>
          <w:ilvl w:val="0"/>
          <w:numId w:val="4"/>
        </w:numPr>
        <w:tabs>
          <w:tab w:val="left" w:pos="903"/>
        </w:tabs>
        <w:spacing w:before="5" w:line="230" w:lineRule="auto"/>
        <w:ind w:right="850" w:hanging="360"/>
        <w:rPr>
          <w:w w:val="90"/>
        </w:rPr>
      </w:pPr>
      <w:r w:rsidRPr="008270BA">
        <w:rPr>
          <w:i/>
          <w:w w:val="90"/>
        </w:rPr>
        <w:t xml:space="preserve">Actividad 3.1.1: </w:t>
      </w:r>
      <w:r w:rsidRPr="008270BA">
        <w:rPr>
          <w:w w:val="90"/>
        </w:rPr>
        <w:t>Desarrollar una red de clínicas de bienestar sexual de alcance para todos para proporcionar pruebas de VIH, ETS y VHC, PrEP, PEP y conexión a tratamiento del VIH, ETS y VHC.</w:t>
      </w:r>
    </w:p>
    <w:p w14:paraId="3903F4FE" w14:textId="77777777" w:rsidR="00A36BA5" w:rsidRPr="008270BA" w:rsidRDefault="008270BA">
      <w:pPr>
        <w:pStyle w:val="ListParagraph"/>
        <w:numPr>
          <w:ilvl w:val="0"/>
          <w:numId w:val="4"/>
        </w:numPr>
        <w:tabs>
          <w:tab w:val="left" w:pos="902"/>
        </w:tabs>
        <w:spacing w:before="27"/>
        <w:ind w:left="901" w:hanging="162"/>
        <w:rPr>
          <w:w w:val="90"/>
        </w:rPr>
      </w:pPr>
      <w:r w:rsidRPr="008270BA">
        <w:rPr>
          <w:i/>
          <w:w w:val="90"/>
        </w:rPr>
        <w:t>Actividad 3.1.2</w:t>
      </w:r>
      <w:r w:rsidRPr="008270BA">
        <w:rPr>
          <w:w w:val="90"/>
        </w:rPr>
        <w:t>: Expandir nuevas asociaciones de la comunidad clínica de PrEP para involucrar a poblaciones de enfoque.</w:t>
      </w:r>
    </w:p>
    <w:p w14:paraId="67DA7B3A" w14:textId="77777777" w:rsidR="00A36BA5" w:rsidRPr="008270BA" w:rsidRDefault="008270BA">
      <w:pPr>
        <w:pStyle w:val="ListParagraph"/>
        <w:numPr>
          <w:ilvl w:val="0"/>
          <w:numId w:val="4"/>
        </w:numPr>
        <w:tabs>
          <w:tab w:val="left" w:pos="903"/>
        </w:tabs>
        <w:spacing w:before="8" w:line="247" w:lineRule="auto"/>
        <w:ind w:right="655" w:hanging="360"/>
        <w:rPr>
          <w:w w:val="90"/>
        </w:rPr>
      </w:pPr>
      <w:r w:rsidRPr="008270BA">
        <w:rPr>
          <w:i/>
          <w:w w:val="90"/>
        </w:rPr>
        <w:t>Actividad 3.1.3</w:t>
      </w:r>
      <w:r w:rsidRPr="008270BA">
        <w:rPr>
          <w:w w:val="90"/>
        </w:rPr>
        <w:t xml:space="preserve">: Ampliar el acceso a PrEP y la capacidad del proveedor a través de modelos de implementación de alcance para todos, por ej., PrEP </w:t>
      </w:r>
      <w:proofErr w:type="spellStart"/>
      <w:r w:rsidRPr="008270BA">
        <w:rPr>
          <w:w w:val="90"/>
        </w:rPr>
        <w:t>telePrEP</w:t>
      </w:r>
      <w:proofErr w:type="spellEnd"/>
      <w:r w:rsidRPr="008270BA">
        <w:rPr>
          <w:w w:val="90"/>
        </w:rPr>
        <w:t xml:space="preserve"> en el mismo día, PrEP extendida por enfermeros, PrEP administrada en farmacia y PrEP en centros de tratamiento de drogas y programas de salud conductual.</w:t>
      </w:r>
    </w:p>
    <w:p w14:paraId="43B660CC" w14:textId="77777777" w:rsidR="00A36BA5" w:rsidRPr="008270BA" w:rsidRDefault="008270BA">
      <w:pPr>
        <w:pStyle w:val="ListParagraph"/>
        <w:numPr>
          <w:ilvl w:val="0"/>
          <w:numId w:val="4"/>
        </w:numPr>
        <w:tabs>
          <w:tab w:val="left" w:pos="903"/>
        </w:tabs>
        <w:spacing w:before="27" w:line="230" w:lineRule="auto"/>
        <w:ind w:right="1693" w:hanging="360"/>
        <w:rPr>
          <w:w w:val="90"/>
        </w:rPr>
      </w:pPr>
      <w:r w:rsidRPr="008270BA">
        <w:rPr>
          <w:i/>
          <w:w w:val="90"/>
        </w:rPr>
        <w:t>Actividad 3.1.4</w:t>
      </w:r>
      <w:r w:rsidRPr="008270BA">
        <w:rPr>
          <w:w w:val="90"/>
        </w:rPr>
        <w:t>: Establecer nuevas asociaciones de PrEP con organizaciones comunitarias que actualmente no están involucradas en servicios del VIH.</w:t>
      </w:r>
    </w:p>
    <w:p w14:paraId="46AC4E32" w14:textId="77777777" w:rsidR="00A36BA5" w:rsidRPr="008270BA" w:rsidRDefault="008270BA">
      <w:pPr>
        <w:pStyle w:val="ListParagraph"/>
        <w:numPr>
          <w:ilvl w:val="0"/>
          <w:numId w:val="4"/>
        </w:numPr>
        <w:tabs>
          <w:tab w:val="left" w:pos="903"/>
        </w:tabs>
        <w:spacing w:before="35" w:line="230" w:lineRule="auto"/>
        <w:ind w:right="1328" w:hanging="360"/>
        <w:rPr>
          <w:w w:val="90"/>
        </w:rPr>
      </w:pPr>
      <w:r w:rsidRPr="008270BA">
        <w:rPr>
          <w:i/>
          <w:w w:val="90"/>
        </w:rPr>
        <w:t>Actividad 3.1.5</w:t>
      </w:r>
      <w:r w:rsidRPr="008270BA">
        <w:rPr>
          <w:w w:val="90"/>
        </w:rPr>
        <w:t>: Expandir el apoyo financiero para el trabajo de laboratorio de rutina relacionado con la PrEP, mediante muestras del proveedor recolectadas en el hogar y los servicios de cumplimiento.</w:t>
      </w:r>
    </w:p>
    <w:p w14:paraId="5B40B711" w14:textId="77777777" w:rsidR="00A36BA5" w:rsidRPr="008270BA" w:rsidRDefault="008270BA">
      <w:pPr>
        <w:pStyle w:val="ListParagraph"/>
        <w:numPr>
          <w:ilvl w:val="0"/>
          <w:numId w:val="4"/>
        </w:numPr>
        <w:tabs>
          <w:tab w:val="left" w:pos="903"/>
        </w:tabs>
        <w:spacing w:before="55" w:line="230" w:lineRule="auto"/>
        <w:ind w:right="1237" w:hanging="360"/>
        <w:rPr>
          <w:w w:val="90"/>
        </w:rPr>
      </w:pPr>
      <w:r w:rsidRPr="008270BA">
        <w:rPr>
          <w:i/>
          <w:w w:val="90"/>
        </w:rPr>
        <w:t>Actividad 3.1.6</w:t>
      </w:r>
      <w:r w:rsidRPr="008270BA">
        <w:rPr>
          <w:w w:val="90"/>
        </w:rPr>
        <w:t>: Aumentar la concientización y establecer un mecanismo centralizado para distribuir PEP a través de asociaciones de farmacias, centros de excelencia PEP y línea directa de PEP.</w:t>
      </w:r>
    </w:p>
    <w:p w14:paraId="5CBBFE63" w14:textId="77777777" w:rsidR="00A36BA5" w:rsidRPr="008270BA" w:rsidRDefault="008270BA">
      <w:pPr>
        <w:pStyle w:val="ListParagraph"/>
        <w:numPr>
          <w:ilvl w:val="0"/>
          <w:numId w:val="4"/>
        </w:numPr>
        <w:tabs>
          <w:tab w:val="left" w:pos="903"/>
        </w:tabs>
        <w:spacing w:before="35" w:line="230" w:lineRule="auto"/>
        <w:ind w:right="902" w:hanging="360"/>
        <w:rPr>
          <w:w w:val="90"/>
        </w:rPr>
      </w:pPr>
      <w:r w:rsidRPr="008270BA">
        <w:rPr>
          <w:i/>
          <w:w w:val="90"/>
        </w:rPr>
        <w:t>Actividad 3.1.7</w:t>
      </w:r>
      <w:r w:rsidRPr="008270BA">
        <w:rPr>
          <w:w w:val="90"/>
        </w:rPr>
        <w:t>: Expandir la disponibilidad de PEP en entornos clave a través de paquetes para principiantes, soporte de navegación de la Unidad de Servicios de Campo de AACO de PDPH y la Unidad de Servicios al Cliente de PDPH propuestas.</w:t>
      </w:r>
    </w:p>
    <w:p w14:paraId="331AF56E" w14:textId="77777777" w:rsidR="00A36BA5" w:rsidRPr="008270BA" w:rsidRDefault="008270BA">
      <w:pPr>
        <w:pStyle w:val="ListParagraph"/>
        <w:numPr>
          <w:ilvl w:val="0"/>
          <w:numId w:val="4"/>
        </w:numPr>
        <w:tabs>
          <w:tab w:val="left" w:pos="903"/>
        </w:tabs>
        <w:spacing w:before="56" w:line="230" w:lineRule="auto"/>
        <w:ind w:right="965" w:hanging="360"/>
        <w:rPr>
          <w:w w:val="90"/>
        </w:rPr>
      </w:pPr>
      <w:r w:rsidRPr="008270BA">
        <w:rPr>
          <w:i/>
          <w:w w:val="90"/>
        </w:rPr>
        <w:t>Actividad 3.1.8</w:t>
      </w:r>
      <w:r w:rsidRPr="008270BA">
        <w:rPr>
          <w:w w:val="90"/>
        </w:rPr>
        <w:t>: Continuar brindando asistencia técnica clínica continua para la implementación de PrEP en entornos en toda la ciudad.</w:t>
      </w:r>
    </w:p>
    <w:p w14:paraId="2C465228" w14:textId="77777777" w:rsidR="00A36BA5" w:rsidRPr="008270BA" w:rsidRDefault="008270BA">
      <w:pPr>
        <w:pStyle w:val="ListParagraph"/>
        <w:numPr>
          <w:ilvl w:val="0"/>
          <w:numId w:val="4"/>
        </w:numPr>
        <w:tabs>
          <w:tab w:val="left" w:pos="902"/>
        </w:tabs>
        <w:spacing w:before="27"/>
        <w:ind w:left="901" w:hanging="162"/>
        <w:rPr>
          <w:w w:val="90"/>
        </w:rPr>
      </w:pPr>
      <w:r w:rsidRPr="008270BA">
        <w:rPr>
          <w:i/>
          <w:w w:val="90"/>
        </w:rPr>
        <w:t>Actividad 3.1.9</w:t>
      </w:r>
      <w:r w:rsidRPr="008270BA">
        <w:rPr>
          <w:w w:val="90"/>
        </w:rPr>
        <w:t>: Expandir la capacidad para evaluar la captación de PrEP.</w:t>
      </w:r>
    </w:p>
    <w:p w14:paraId="20CA902A" w14:textId="77777777" w:rsidR="00A36BA5" w:rsidRPr="008270BA" w:rsidRDefault="00A36BA5">
      <w:pPr>
        <w:pStyle w:val="BodyText"/>
        <w:spacing w:before="10"/>
        <w:rPr>
          <w:w w:val="90"/>
          <w:sz w:val="26"/>
        </w:rPr>
      </w:pPr>
    </w:p>
    <w:p w14:paraId="1609679D" w14:textId="77777777" w:rsidR="00A36BA5" w:rsidRPr="008270BA" w:rsidRDefault="008270BA">
      <w:pPr>
        <w:pStyle w:val="Heading3"/>
        <w:spacing w:line="242" w:lineRule="auto"/>
        <w:rPr>
          <w:w w:val="90"/>
        </w:rPr>
      </w:pPr>
      <w:r w:rsidRPr="008270BA">
        <w:rPr>
          <w:w w:val="90"/>
        </w:rPr>
        <w:t>Estrategia 3.2: Asegurar el acceso a programas de servicio de jeringas, brindar servicios de reducción de daños y conexión a tratamiento para trastornos por uso de sustancias.</w:t>
      </w:r>
    </w:p>
    <w:p w14:paraId="01D8A909" w14:textId="77777777" w:rsidR="00A36BA5" w:rsidRPr="008270BA" w:rsidRDefault="008270BA">
      <w:pPr>
        <w:pStyle w:val="ListParagraph"/>
        <w:numPr>
          <w:ilvl w:val="0"/>
          <w:numId w:val="4"/>
        </w:numPr>
        <w:tabs>
          <w:tab w:val="left" w:pos="902"/>
        </w:tabs>
        <w:spacing w:before="22"/>
        <w:ind w:left="901" w:hanging="162"/>
        <w:rPr>
          <w:w w:val="90"/>
        </w:rPr>
      </w:pPr>
      <w:r w:rsidRPr="008270BA">
        <w:rPr>
          <w:i/>
          <w:w w:val="90"/>
        </w:rPr>
        <w:t>Actividad 3.2.1</w:t>
      </w:r>
      <w:r w:rsidRPr="008270BA">
        <w:rPr>
          <w:w w:val="90"/>
        </w:rPr>
        <w:t>: Expandir la capacidad para que los programas de servicio de jeringas distribuyan y recolecten jeringas.</w:t>
      </w:r>
    </w:p>
    <w:p w14:paraId="6FD97E2E" w14:textId="77777777" w:rsidR="00A36BA5" w:rsidRPr="008270BA" w:rsidRDefault="008270BA">
      <w:pPr>
        <w:pStyle w:val="ListParagraph"/>
        <w:numPr>
          <w:ilvl w:val="0"/>
          <w:numId w:val="4"/>
        </w:numPr>
        <w:tabs>
          <w:tab w:val="left" w:pos="903"/>
        </w:tabs>
        <w:spacing w:before="8" w:line="247" w:lineRule="auto"/>
        <w:ind w:right="1131" w:hanging="360"/>
        <w:rPr>
          <w:w w:val="90"/>
        </w:rPr>
      </w:pPr>
      <w:r w:rsidRPr="008270BA">
        <w:rPr>
          <w:i/>
          <w:w w:val="90"/>
        </w:rPr>
        <w:t>Actividad 3.2.2</w:t>
      </w:r>
      <w:r w:rsidRPr="008270BA">
        <w:rPr>
          <w:w w:val="90"/>
        </w:rPr>
        <w:t>: Proporcionar desarrollo organizacional y desarrollo de capacidades para expandir las asociaciones locales y establecer nuevas organizaciones que brinden servicios de SSP y nuevas ubicaciones de servicio según las necesidades y los datos de salud pública del VIH.</w:t>
      </w:r>
    </w:p>
    <w:p w14:paraId="05CAA899" w14:textId="77777777" w:rsidR="00A36BA5" w:rsidRPr="008270BA" w:rsidRDefault="008270BA">
      <w:pPr>
        <w:pStyle w:val="ListParagraph"/>
        <w:numPr>
          <w:ilvl w:val="0"/>
          <w:numId w:val="4"/>
        </w:numPr>
        <w:tabs>
          <w:tab w:val="left" w:pos="903"/>
        </w:tabs>
        <w:spacing w:before="26" w:line="230" w:lineRule="auto"/>
        <w:ind w:right="1036" w:hanging="360"/>
        <w:rPr>
          <w:w w:val="90"/>
        </w:rPr>
      </w:pPr>
      <w:r w:rsidRPr="008270BA">
        <w:rPr>
          <w:i/>
          <w:w w:val="90"/>
        </w:rPr>
        <w:t xml:space="preserve">Actividad 3.2.3: </w:t>
      </w:r>
      <w:r w:rsidRPr="008270BA">
        <w:rPr>
          <w:w w:val="90"/>
        </w:rPr>
        <w:t>Expandir la promoción y distribución de información y suministros específicos de la comunidad sobre bienestar sexual y reducción de daños a través de enfoques innovadores.</w:t>
      </w:r>
    </w:p>
    <w:p w14:paraId="4AB29FC4" w14:textId="77777777" w:rsidR="00A36BA5" w:rsidRPr="008270BA" w:rsidRDefault="00A36BA5">
      <w:pPr>
        <w:pStyle w:val="BodyText"/>
        <w:spacing w:before="7"/>
        <w:rPr>
          <w:w w:val="90"/>
          <w:sz w:val="28"/>
        </w:rPr>
      </w:pPr>
    </w:p>
    <w:p w14:paraId="41A80628" w14:textId="77777777" w:rsidR="00A36BA5" w:rsidRPr="008270BA" w:rsidRDefault="008270BA">
      <w:pPr>
        <w:pStyle w:val="Heading3"/>
        <w:jc w:val="both"/>
        <w:rPr>
          <w:w w:val="90"/>
        </w:rPr>
      </w:pPr>
      <w:r w:rsidRPr="008270BA">
        <w:rPr>
          <w:w w:val="90"/>
        </w:rPr>
        <w:t>Estrategia 3.3: Proporcionar actividad de prevención del VIH para las comunidades en riesgo.</w:t>
      </w:r>
    </w:p>
    <w:p w14:paraId="66011235" w14:textId="77777777" w:rsidR="00A36BA5" w:rsidRPr="008270BA" w:rsidRDefault="008270BA">
      <w:pPr>
        <w:pStyle w:val="ListParagraph"/>
        <w:numPr>
          <w:ilvl w:val="0"/>
          <w:numId w:val="4"/>
        </w:numPr>
        <w:tabs>
          <w:tab w:val="left" w:pos="903"/>
        </w:tabs>
        <w:spacing w:before="30" w:line="230" w:lineRule="auto"/>
        <w:ind w:right="800" w:hanging="360"/>
        <w:jc w:val="both"/>
        <w:rPr>
          <w:w w:val="90"/>
        </w:rPr>
      </w:pPr>
      <w:r w:rsidRPr="008270BA">
        <w:rPr>
          <w:i/>
          <w:w w:val="90"/>
        </w:rPr>
        <w:t>Actividad 3.3.1</w:t>
      </w:r>
      <w:r w:rsidRPr="008270BA">
        <w:rPr>
          <w:w w:val="90"/>
        </w:rPr>
        <w:t>: Continuar la distribución de condones gratuitos en toda la ciudad, incluidas las escuelas secundarias, los lugares a los que acceden los jóvenes y los sitios del programa de servicio de jeringas.</w:t>
      </w:r>
    </w:p>
    <w:p w14:paraId="522467C0" w14:textId="20A8C0DF" w:rsidR="00A36BA5" w:rsidRPr="008270BA" w:rsidRDefault="009D4B53">
      <w:pPr>
        <w:pStyle w:val="ListParagraph"/>
        <w:numPr>
          <w:ilvl w:val="0"/>
          <w:numId w:val="4"/>
        </w:numPr>
        <w:tabs>
          <w:tab w:val="left" w:pos="903"/>
        </w:tabs>
        <w:spacing w:before="28" w:line="247" w:lineRule="auto"/>
        <w:ind w:right="811" w:hanging="360"/>
        <w:jc w:val="both"/>
        <w:rPr>
          <w:w w:val="90"/>
        </w:rPr>
      </w:pPr>
      <w:r>
        <w:rPr>
          <w:noProof/>
        </w:rPr>
        <w:lastRenderedPageBreak/>
        <mc:AlternateContent>
          <mc:Choice Requires="wps">
            <w:drawing>
              <wp:anchor distT="45720" distB="45720" distL="114300" distR="114300" simplePos="0" relativeHeight="487633920" behindDoc="0" locked="0" layoutInCell="1" allowOverlap="1" wp14:anchorId="042F2918" wp14:editId="57563128">
                <wp:simplePos x="0" y="0"/>
                <wp:positionH relativeFrom="column">
                  <wp:posOffset>6072505</wp:posOffset>
                </wp:positionH>
                <wp:positionV relativeFrom="paragraph">
                  <wp:posOffset>232410</wp:posOffset>
                </wp:positionV>
                <wp:extent cx="405765" cy="25209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A5336" w14:textId="341890E3" w:rsidR="00A3515D" w:rsidRPr="002F0576" w:rsidRDefault="00A3515D" w:rsidP="00A3515D">
                            <w:pPr>
                              <w:rPr>
                                <w:lang w:val="en-US"/>
                              </w:rPr>
                            </w:pPr>
                            <w:r>
                              <w:t>31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2F2918" id="_x0000_s1051" type="#_x0000_t202" style="position:absolute;left:0;text-align:left;margin-left:478.15pt;margin-top:18.3pt;width:31.95pt;height:19.85pt;z-index:487633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" stroked="f">
                <v:textbox style="mso-fit-shape-to-text:t">
                  <w:txbxContent>
                    <w:p w14:paraId="054A5336" w14:textId="341890E3" w:rsidR="00A3515D" w:rsidRPr="002F0576" w:rsidRDefault="00A3515D" w:rsidP="00A3515D">
                      <w:pPr>
                        <w:rPr>
                          <w:lang w:val="en-US"/>
                        </w:rPr>
                      </w:pPr>
                      <w:r>
                        <w:t>31</w:t>
                      </w:r>
                    </w:p>
                  </w:txbxContent>
                </v:textbox>
                <w10:wrap type="square"/>
              </v:shape>
            </w:pict>
          </mc:Fallback>
        </mc:AlternateContent>
      </w:r>
      <w:r w:rsidR="008270BA" w:rsidRPr="008270BA">
        <w:rPr>
          <w:w w:val="90"/>
        </w:rPr>
        <w:t>Actividad 3.3.2: Restablecer asociaciones basadas en la comunidad para educación sexual integral y apropiada para la edad y educación del VIH a través de programas de educación de salud existentes, incluso el trabajo con Escuelas de Filadelfia.</w:t>
      </w:r>
    </w:p>
    <w:p w14:paraId="59AD0B30" w14:textId="77777777" w:rsidR="00A36BA5" w:rsidRPr="008270BA" w:rsidRDefault="008270BA">
      <w:pPr>
        <w:pStyle w:val="ListParagraph"/>
        <w:numPr>
          <w:ilvl w:val="0"/>
          <w:numId w:val="4"/>
        </w:numPr>
        <w:tabs>
          <w:tab w:val="left" w:pos="903"/>
        </w:tabs>
        <w:spacing w:before="27" w:line="230" w:lineRule="auto"/>
        <w:ind w:right="1115" w:hanging="360"/>
        <w:jc w:val="both"/>
        <w:rPr>
          <w:w w:val="90"/>
        </w:rPr>
      </w:pPr>
      <w:r w:rsidRPr="008270BA">
        <w:rPr>
          <w:w w:val="90"/>
        </w:rPr>
        <w:t>Actividad 3.3.3: Expandir la capacidad para que la fuerza de trabajo para la prevención del VIH brinde educación primaria relacionada con el VIH.</w:t>
      </w:r>
    </w:p>
    <w:p w14:paraId="5E93137E" w14:textId="77777777" w:rsidR="00A36BA5" w:rsidRPr="008270BA" w:rsidRDefault="00A36BA5">
      <w:pPr>
        <w:pStyle w:val="BodyText"/>
        <w:spacing w:before="6"/>
        <w:rPr>
          <w:w w:val="90"/>
          <w:sz w:val="28"/>
        </w:rPr>
      </w:pPr>
    </w:p>
    <w:p w14:paraId="4B5FA78F" w14:textId="77777777" w:rsidR="00A36BA5" w:rsidRPr="008270BA" w:rsidRDefault="008270BA">
      <w:pPr>
        <w:pStyle w:val="Heading3"/>
        <w:spacing w:before="1"/>
        <w:rPr>
          <w:w w:val="90"/>
        </w:rPr>
      </w:pPr>
      <w:r w:rsidRPr="008270BA">
        <w:rPr>
          <w:w w:val="90"/>
        </w:rPr>
        <w:t>Estrategia 3.4: Proporcionar actividades para la prevención del VIH perinatal.</w:t>
      </w:r>
    </w:p>
    <w:p w14:paraId="2FABEA2C" w14:textId="77777777" w:rsidR="00A36BA5" w:rsidRPr="008270BA" w:rsidRDefault="008270BA" w:rsidP="00D44A46">
      <w:pPr>
        <w:pStyle w:val="ListParagraph"/>
        <w:numPr>
          <w:ilvl w:val="0"/>
          <w:numId w:val="4"/>
        </w:numPr>
        <w:tabs>
          <w:tab w:val="left" w:pos="902"/>
        </w:tabs>
        <w:ind w:left="901" w:hanging="162"/>
        <w:rPr>
          <w:w w:val="90"/>
        </w:rPr>
      </w:pPr>
      <w:r w:rsidRPr="008270BA">
        <w:rPr>
          <w:i/>
          <w:w w:val="90"/>
        </w:rPr>
        <w:t>Actividad 3.4.1</w:t>
      </w:r>
      <w:r w:rsidRPr="008270BA">
        <w:rPr>
          <w:w w:val="90"/>
        </w:rPr>
        <w:t>: Continuar con la revisión de casos centinela y las actividades de mejora del sistema.</w:t>
      </w:r>
    </w:p>
    <w:p w14:paraId="71436FED" w14:textId="77777777" w:rsidR="00A36BA5" w:rsidRPr="008270BA" w:rsidRDefault="008270BA" w:rsidP="00D44A46">
      <w:pPr>
        <w:pStyle w:val="ListParagraph"/>
        <w:numPr>
          <w:ilvl w:val="0"/>
          <w:numId w:val="4"/>
        </w:numPr>
        <w:tabs>
          <w:tab w:val="left" w:pos="902"/>
        </w:tabs>
        <w:ind w:left="901" w:hanging="162"/>
        <w:rPr>
          <w:w w:val="90"/>
        </w:rPr>
      </w:pPr>
      <w:r w:rsidRPr="008270BA">
        <w:rPr>
          <w:i/>
          <w:w w:val="90"/>
        </w:rPr>
        <w:t>Actividad 3.4.2</w:t>
      </w:r>
      <w:r w:rsidRPr="008270BA">
        <w:rPr>
          <w:w w:val="90"/>
        </w:rPr>
        <w:t>: Proporcionar manejo de casos especializado para mujeres embarazadas que viven con VIH.</w:t>
      </w:r>
    </w:p>
    <w:p w14:paraId="4329BE0D" w14:textId="77777777" w:rsidR="00A36BA5" w:rsidRPr="008270BA" w:rsidRDefault="008270BA" w:rsidP="00D44A46">
      <w:pPr>
        <w:pStyle w:val="ListParagraph"/>
        <w:numPr>
          <w:ilvl w:val="0"/>
          <w:numId w:val="4"/>
        </w:numPr>
        <w:tabs>
          <w:tab w:val="left" w:pos="903"/>
        </w:tabs>
        <w:spacing w:line="230" w:lineRule="auto"/>
        <w:ind w:right="805" w:hanging="360"/>
        <w:rPr>
          <w:w w:val="90"/>
        </w:rPr>
      </w:pPr>
      <w:r w:rsidRPr="008270BA">
        <w:rPr>
          <w:i/>
          <w:w w:val="90"/>
        </w:rPr>
        <w:t>Actividad 3.4.3</w:t>
      </w:r>
      <w:r w:rsidRPr="008270BA">
        <w:rPr>
          <w:w w:val="90"/>
        </w:rPr>
        <w:t>: Desarrollar soporte de navegación de PrEP para mujeres embarazadas VIH negativas en riesgo de contraer el VIH.</w:t>
      </w:r>
    </w:p>
    <w:p w14:paraId="336CC261" w14:textId="77777777" w:rsidR="00A36BA5" w:rsidRPr="008270BA" w:rsidRDefault="00A36BA5">
      <w:pPr>
        <w:pStyle w:val="BodyText"/>
        <w:spacing w:before="3"/>
        <w:rPr>
          <w:w w:val="90"/>
          <w:sz w:val="23"/>
        </w:rPr>
      </w:pPr>
    </w:p>
    <w:p w14:paraId="6E69CBEB" w14:textId="77777777" w:rsidR="00A36BA5" w:rsidRPr="008270BA" w:rsidRDefault="008270BA">
      <w:pPr>
        <w:spacing w:line="256" w:lineRule="auto"/>
        <w:ind w:left="380" w:right="212"/>
        <w:rPr>
          <w:w w:val="90"/>
        </w:rPr>
      </w:pPr>
      <w:r w:rsidRPr="008270BA">
        <w:rPr>
          <w:b/>
          <w:w w:val="90"/>
        </w:rPr>
        <w:t xml:space="preserve">Socios clave: </w:t>
      </w:r>
      <w:r w:rsidRPr="008270BA">
        <w:rPr>
          <w:w w:val="90"/>
        </w:rPr>
        <w:t xml:space="preserve">AACO del PDPH, División de Control de Enfermedades del PDPH, División de Prevención de Uso de Sustancias y Reducción de Daños del PDPH, DOH de PA, proveedores clínicos, centros de atención médica, organizaciones basadas en la comunidad, </w:t>
      </w:r>
      <w:proofErr w:type="spellStart"/>
      <w:r w:rsidRPr="008270BA">
        <w:rPr>
          <w:w w:val="90"/>
        </w:rPr>
        <w:t>Prevention</w:t>
      </w:r>
      <w:proofErr w:type="spellEnd"/>
      <w:r w:rsidRPr="008270BA">
        <w:rPr>
          <w:w w:val="90"/>
        </w:rPr>
        <w:t xml:space="preserve"> Point </w:t>
      </w:r>
      <w:proofErr w:type="spellStart"/>
      <w:r w:rsidRPr="008270BA">
        <w:rPr>
          <w:w w:val="90"/>
        </w:rPr>
        <w:t>Philadelphia</w:t>
      </w:r>
      <w:proofErr w:type="spellEnd"/>
      <w:r w:rsidRPr="008270BA">
        <w:rPr>
          <w:w w:val="90"/>
        </w:rPr>
        <w:t>, el Distrito Escolar de Filadelfia, facultades y universidades locales, legisladores locales, agencias que pueden proporcionar traducción (español), FQHC, SEPTA, negocios basados en barrios.</w:t>
      </w:r>
    </w:p>
    <w:p w14:paraId="6BC0D78D" w14:textId="77777777" w:rsidR="00A36BA5" w:rsidRPr="008270BA" w:rsidRDefault="008270BA">
      <w:pPr>
        <w:spacing w:before="7" w:line="247" w:lineRule="auto"/>
        <w:ind w:left="380" w:right="594"/>
        <w:rPr>
          <w:w w:val="90"/>
        </w:rPr>
      </w:pPr>
      <w:r w:rsidRPr="008270BA">
        <w:rPr>
          <w:b/>
          <w:w w:val="90"/>
        </w:rPr>
        <w:t xml:space="preserve">Posibles recursos de financiación: </w:t>
      </w:r>
      <w:r w:rsidRPr="008270BA">
        <w:rPr>
          <w:w w:val="90"/>
        </w:rPr>
        <w:t>Acuerdo de Cooperación para la Prevención y Vigilancia del VIH de los CDC, Iniciativa EHE de los CDC, Oficina de Atención Primaria de HRSA, Departamento de Salud de Pensilvania, Ingresos Generales de la Ciudad de Filadelfia</w:t>
      </w:r>
    </w:p>
    <w:p w14:paraId="601A2CB0" w14:textId="77777777" w:rsidR="00A36BA5" w:rsidRPr="008270BA" w:rsidRDefault="008270BA">
      <w:pPr>
        <w:spacing w:before="18" w:line="247" w:lineRule="auto"/>
        <w:ind w:left="380" w:right="591"/>
        <w:rPr>
          <w:w w:val="90"/>
        </w:rPr>
      </w:pPr>
      <w:r w:rsidRPr="008270BA">
        <w:rPr>
          <w:b/>
          <w:w w:val="90"/>
        </w:rPr>
        <w:t xml:space="preserve">Asignación de fondos estimada: </w:t>
      </w:r>
      <w:r w:rsidRPr="008270BA">
        <w:rPr>
          <w:w w:val="90"/>
        </w:rPr>
        <w:t>Fondos actuales del PDPH $5,015,898; Fondos adicionales estimados necesarios para implementar el plan: A determinar</w:t>
      </w:r>
    </w:p>
    <w:p w14:paraId="67314E80" w14:textId="77777777" w:rsidR="00A36BA5" w:rsidRPr="008270BA" w:rsidRDefault="008270BA">
      <w:pPr>
        <w:spacing w:before="80"/>
        <w:ind w:left="380"/>
        <w:rPr>
          <w:w w:val="90"/>
        </w:rPr>
      </w:pPr>
      <w:r w:rsidRPr="008270BA">
        <w:rPr>
          <w:b/>
          <w:w w:val="90"/>
        </w:rPr>
        <w:t xml:space="preserve">Fuente de datos de monitoreo: </w:t>
      </w:r>
      <w:r w:rsidRPr="008270BA">
        <w:rPr>
          <w:w w:val="90"/>
        </w:rPr>
        <w:t xml:space="preserve">AACO de PDPH, </w:t>
      </w:r>
      <w:proofErr w:type="spellStart"/>
      <w:r w:rsidRPr="008270BA">
        <w:rPr>
          <w:w w:val="90"/>
        </w:rPr>
        <w:t>CAREWare</w:t>
      </w:r>
      <w:proofErr w:type="spellEnd"/>
      <w:r w:rsidRPr="008270BA">
        <w:rPr>
          <w:w w:val="90"/>
        </w:rPr>
        <w:t xml:space="preserve">, </w:t>
      </w:r>
      <w:proofErr w:type="spellStart"/>
      <w:r w:rsidRPr="008270BA">
        <w:rPr>
          <w:w w:val="90"/>
        </w:rPr>
        <w:t>EvaluationWeb</w:t>
      </w:r>
      <w:proofErr w:type="spellEnd"/>
      <w:r w:rsidRPr="008270BA">
        <w:rPr>
          <w:w w:val="90"/>
        </w:rPr>
        <w:t>, NHBS</w:t>
      </w:r>
    </w:p>
    <w:p w14:paraId="699D7A49" w14:textId="77777777" w:rsidR="00A36BA5" w:rsidRPr="008270BA" w:rsidRDefault="00A36BA5">
      <w:pPr>
        <w:pStyle w:val="BodyText"/>
        <w:spacing w:before="1"/>
        <w:rPr>
          <w:w w:val="90"/>
          <w:sz w:val="28"/>
        </w:rPr>
      </w:pPr>
    </w:p>
    <w:p w14:paraId="5969310A" w14:textId="77777777" w:rsidR="00A36BA5" w:rsidRPr="008270BA" w:rsidRDefault="008270BA">
      <w:pPr>
        <w:spacing w:after="14"/>
        <w:ind w:left="380"/>
        <w:rPr>
          <w:b/>
          <w:w w:val="90"/>
        </w:rPr>
      </w:pPr>
      <w:r w:rsidRPr="008270BA">
        <w:rPr>
          <w:b/>
          <w:w w:val="90"/>
        </w:rPr>
        <w:t>Resultados:</w:t>
      </w:r>
    </w:p>
    <w:tbl>
      <w:tblPr>
        <w:tblStyle w:val="TableNormal1"/>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60"/>
        <w:gridCol w:w="3220"/>
        <w:gridCol w:w="3080"/>
      </w:tblGrid>
      <w:tr w:rsidR="00A36BA5" w:rsidRPr="008270BA" w14:paraId="7BD9E6EE" w14:textId="77777777">
        <w:trPr>
          <w:trHeight w:val="420"/>
        </w:trPr>
        <w:tc>
          <w:tcPr>
            <w:tcW w:w="9660" w:type="dxa"/>
            <w:gridSpan w:val="3"/>
            <w:shd w:val="clear" w:color="auto" w:fill="001F5F"/>
          </w:tcPr>
          <w:p w14:paraId="338B2367" w14:textId="77777777" w:rsidR="00A36BA5" w:rsidRPr="008270BA" w:rsidRDefault="008270BA">
            <w:pPr>
              <w:pStyle w:val="TableParagraph"/>
              <w:spacing w:before="75"/>
              <w:ind w:left="2398" w:right="2362"/>
              <w:jc w:val="center"/>
              <w:rPr>
                <w:b/>
                <w:w w:val="90"/>
                <w:sz w:val="24"/>
              </w:rPr>
            </w:pPr>
            <w:r w:rsidRPr="008270BA">
              <w:rPr>
                <w:b/>
                <w:color w:val="FFFFFF"/>
                <w:w w:val="90"/>
                <w:sz w:val="24"/>
              </w:rPr>
              <w:t>Tabla 6. Metas relacionadas con PrEP a 5 años por población</w:t>
            </w:r>
          </w:p>
        </w:tc>
      </w:tr>
      <w:tr w:rsidR="00A36BA5" w:rsidRPr="008270BA" w14:paraId="0C4F97BC" w14:textId="77777777">
        <w:trPr>
          <w:trHeight w:val="580"/>
        </w:trPr>
        <w:tc>
          <w:tcPr>
            <w:tcW w:w="3360" w:type="dxa"/>
            <w:shd w:val="clear" w:color="auto" w:fill="D9D9D9"/>
          </w:tcPr>
          <w:p w14:paraId="717D215C" w14:textId="77777777" w:rsidR="00A36BA5" w:rsidRPr="008270BA" w:rsidRDefault="008270BA">
            <w:pPr>
              <w:pStyle w:val="TableParagraph"/>
              <w:spacing w:before="155"/>
              <w:ind w:left="117"/>
              <w:rPr>
                <w:b/>
                <w:w w:val="90"/>
                <w:sz w:val="24"/>
              </w:rPr>
            </w:pPr>
            <w:r w:rsidRPr="008270BA">
              <w:rPr>
                <w:b/>
                <w:w w:val="90"/>
                <w:sz w:val="24"/>
              </w:rPr>
              <w:t>Población</w:t>
            </w:r>
          </w:p>
        </w:tc>
        <w:tc>
          <w:tcPr>
            <w:tcW w:w="3220" w:type="dxa"/>
            <w:shd w:val="clear" w:color="auto" w:fill="D9D9D9"/>
          </w:tcPr>
          <w:p w14:paraId="6875ABA6" w14:textId="77777777" w:rsidR="00A36BA5" w:rsidRPr="008270BA" w:rsidRDefault="008270BA">
            <w:pPr>
              <w:pStyle w:val="TableParagraph"/>
              <w:spacing w:before="0" w:line="242" w:lineRule="auto"/>
              <w:ind w:left="446" w:right="245" w:hanging="174"/>
              <w:rPr>
                <w:b/>
                <w:w w:val="90"/>
                <w:sz w:val="24"/>
              </w:rPr>
            </w:pPr>
            <w:r w:rsidRPr="008270BA">
              <w:rPr>
                <w:b/>
                <w:w w:val="90"/>
                <w:sz w:val="24"/>
              </w:rPr>
              <w:t>Porcentaje de la población con indicación de PrEP en PrEP</w:t>
            </w:r>
          </w:p>
        </w:tc>
        <w:tc>
          <w:tcPr>
            <w:tcW w:w="3080" w:type="dxa"/>
            <w:shd w:val="clear" w:color="auto" w:fill="D9D9D9"/>
          </w:tcPr>
          <w:p w14:paraId="0546E86F" w14:textId="77777777" w:rsidR="00A36BA5" w:rsidRPr="008270BA" w:rsidRDefault="008270BA">
            <w:pPr>
              <w:pStyle w:val="TableParagraph"/>
              <w:spacing w:before="155"/>
              <w:ind w:left="721" w:right="676"/>
              <w:jc w:val="center"/>
              <w:rPr>
                <w:b/>
                <w:w w:val="90"/>
                <w:sz w:val="24"/>
              </w:rPr>
            </w:pPr>
            <w:r w:rsidRPr="008270BA">
              <w:rPr>
                <w:b/>
                <w:w w:val="90"/>
                <w:sz w:val="24"/>
              </w:rPr>
              <w:t>Cantidad en PrEP</w:t>
            </w:r>
          </w:p>
        </w:tc>
      </w:tr>
      <w:tr w:rsidR="00A36BA5" w:rsidRPr="008270BA" w14:paraId="750D792B" w14:textId="77777777">
        <w:trPr>
          <w:trHeight w:val="420"/>
        </w:trPr>
        <w:tc>
          <w:tcPr>
            <w:tcW w:w="3360" w:type="dxa"/>
            <w:shd w:val="clear" w:color="auto" w:fill="D9D9D9"/>
          </w:tcPr>
          <w:p w14:paraId="647CBD9E" w14:textId="77777777" w:rsidR="00A36BA5" w:rsidRPr="008270BA" w:rsidRDefault="008270BA">
            <w:pPr>
              <w:pStyle w:val="TableParagraph"/>
              <w:spacing w:before="75"/>
              <w:ind w:left="117"/>
              <w:rPr>
                <w:rFonts w:ascii="Arial-BoldItalicMT"/>
                <w:b/>
                <w:i/>
                <w:w w:val="90"/>
                <w:sz w:val="24"/>
              </w:rPr>
            </w:pPr>
            <w:r w:rsidRPr="008270BA">
              <w:rPr>
                <w:rFonts w:ascii="Arial-BoldItalicMT"/>
                <w:b/>
                <w:i/>
                <w:w w:val="90"/>
                <w:sz w:val="24"/>
              </w:rPr>
              <w:t>General</w:t>
            </w:r>
          </w:p>
        </w:tc>
        <w:tc>
          <w:tcPr>
            <w:tcW w:w="3220" w:type="dxa"/>
            <w:shd w:val="clear" w:color="auto" w:fill="D9D9D9"/>
          </w:tcPr>
          <w:p w14:paraId="20834AB0" w14:textId="77777777" w:rsidR="00A36BA5" w:rsidRPr="008270BA" w:rsidRDefault="008270BA">
            <w:pPr>
              <w:pStyle w:val="TableParagraph"/>
              <w:spacing w:before="75"/>
              <w:ind w:right="1371"/>
              <w:jc w:val="right"/>
              <w:rPr>
                <w:rFonts w:ascii="Arial-BoldItalicMT"/>
                <w:b/>
                <w:i/>
                <w:w w:val="90"/>
                <w:sz w:val="24"/>
              </w:rPr>
            </w:pPr>
            <w:r w:rsidRPr="008270BA">
              <w:rPr>
                <w:rFonts w:ascii="Arial-BoldItalicMT"/>
                <w:b/>
                <w:i/>
                <w:w w:val="90"/>
                <w:sz w:val="24"/>
              </w:rPr>
              <w:t>50%</w:t>
            </w:r>
          </w:p>
        </w:tc>
        <w:tc>
          <w:tcPr>
            <w:tcW w:w="3080" w:type="dxa"/>
            <w:shd w:val="clear" w:color="auto" w:fill="D9D9D9"/>
          </w:tcPr>
          <w:p w14:paraId="67D5182E" w14:textId="77777777" w:rsidR="00A36BA5" w:rsidRPr="008270BA" w:rsidRDefault="008270BA">
            <w:pPr>
              <w:pStyle w:val="TableParagraph"/>
              <w:spacing w:before="75"/>
              <w:ind w:left="721" w:right="674"/>
              <w:jc w:val="center"/>
              <w:rPr>
                <w:rFonts w:ascii="Arial-BoldItalicMT"/>
                <w:b/>
                <w:i/>
                <w:w w:val="90"/>
                <w:sz w:val="24"/>
              </w:rPr>
            </w:pPr>
            <w:r w:rsidRPr="008270BA">
              <w:rPr>
                <w:rFonts w:ascii="Arial-BoldItalicMT"/>
                <w:b/>
                <w:i/>
                <w:w w:val="90"/>
                <w:sz w:val="24"/>
              </w:rPr>
              <w:t>6,950</w:t>
            </w:r>
          </w:p>
        </w:tc>
      </w:tr>
      <w:tr w:rsidR="00A36BA5" w:rsidRPr="008270BA" w14:paraId="4168AE9E" w14:textId="77777777">
        <w:trPr>
          <w:trHeight w:val="420"/>
        </w:trPr>
        <w:tc>
          <w:tcPr>
            <w:tcW w:w="3360" w:type="dxa"/>
          </w:tcPr>
          <w:p w14:paraId="20EE6C5F" w14:textId="77777777" w:rsidR="00A36BA5" w:rsidRPr="008270BA" w:rsidRDefault="008270BA">
            <w:pPr>
              <w:pStyle w:val="TableParagraph"/>
              <w:spacing w:before="75"/>
              <w:ind w:left="117"/>
              <w:rPr>
                <w:w w:val="90"/>
                <w:sz w:val="24"/>
              </w:rPr>
            </w:pPr>
            <w:r w:rsidRPr="008270BA">
              <w:rPr>
                <w:w w:val="90"/>
                <w:sz w:val="24"/>
              </w:rPr>
              <w:t>Personas transgénero</w:t>
            </w:r>
          </w:p>
        </w:tc>
        <w:tc>
          <w:tcPr>
            <w:tcW w:w="3220" w:type="dxa"/>
          </w:tcPr>
          <w:p w14:paraId="75C034D3" w14:textId="77777777" w:rsidR="00A36BA5" w:rsidRPr="008270BA" w:rsidRDefault="008270BA">
            <w:pPr>
              <w:pStyle w:val="TableParagraph"/>
              <w:spacing w:before="75"/>
              <w:ind w:right="1372"/>
              <w:jc w:val="right"/>
              <w:rPr>
                <w:w w:val="90"/>
                <w:sz w:val="24"/>
              </w:rPr>
            </w:pPr>
            <w:r w:rsidRPr="008270BA">
              <w:rPr>
                <w:w w:val="90"/>
                <w:sz w:val="24"/>
              </w:rPr>
              <w:t>75%</w:t>
            </w:r>
          </w:p>
        </w:tc>
        <w:tc>
          <w:tcPr>
            <w:tcW w:w="3080" w:type="dxa"/>
          </w:tcPr>
          <w:p w14:paraId="69B78B52" w14:textId="77777777" w:rsidR="00A36BA5" w:rsidRPr="008270BA" w:rsidRDefault="008270BA">
            <w:pPr>
              <w:pStyle w:val="TableParagraph"/>
              <w:spacing w:before="75"/>
              <w:ind w:left="721" w:right="676"/>
              <w:jc w:val="center"/>
              <w:rPr>
                <w:w w:val="90"/>
                <w:sz w:val="24"/>
              </w:rPr>
            </w:pPr>
            <w:r w:rsidRPr="008270BA">
              <w:rPr>
                <w:w w:val="90"/>
                <w:sz w:val="24"/>
              </w:rPr>
              <w:t>TBD</w:t>
            </w:r>
          </w:p>
        </w:tc>
      </w:tr>
      <w:tr w:rsidR="00A36BA5" w:rsidRPr="008270BA" w14:paraId="0156762F" w14:textId="77777777">
        <w:trPr>
          <w:trHeight w:val="420"/>
        </w:trPr>
        <w:tc>
          <w:tcPr>
            <w:tcW w:w="3360" w:type="dxa"/>
          </w:tcPr>
          <w:p w14:paraId="67FFB777" w14:textId="77777777" w:rsidR="00A36BA5" w:rsidRPr="008270BA" w:rsidRDefault="008270BA">
            <w:pPr>
              <w:pStyle w:val="TableParagraph"/>
              <w:spacing w:before="75"/>
              <w:ind w:left="117"/>
              <w:rPr>
                <w:w w:val="90"/>
                <w:sz w:val="24"/>
              </w:rPr>
            </w:pPr>
            <w:r w:rsidRPr="008270BA">
              <w:rPr>
                <w:w w:val="90"/>
                <w:sz w:val="24"/>
              </w:rPr>
              <w:t>MSM con sífilis reciente</w:t>
            </w:r>
          </w:p>
        </w:tc>
        <w:tc>
          <w:tcPr>
            <w:tcW w:w="3220" w:type="dxa"/>
          </w:tcPr>
          <w:p w14:paraId="582E48CA" w14:textId="77777777" w:rsidR="00A36BA5" w:rsidRPr="008270BA" w:rsidRDefault="008270BA">
            <w:pPr>
              <w:pStyle w:val="TableParagraph"/>
              <w:spacing w:before="75"/>
              <w:ind w:right="1372"/>
              <w:jc w:val="right"/>
              <w:rPr>
                <w:w w:val="90"/>
                <w:sz w:val="24"/>
              </w:rPr>
            </w:pPr>
            <w:r w:rsidRPr="008270BA">
              <w:rPr>
                <w:w w:val="90"/>
                <w:sz w:val="24"/>
              </w:rPr>
              <w:t>75%</w:t>
            </w:r>
          </w:p>
        </w:tc>
        <w:tc>
          <w:tcPr>
            <w:tcW w:w="3080" w:type="dxa"/>
          </w:tcPr>
          <w:p w14:paraId="02AB5131" w14:textId="77777777" w:rsidR="00A36BA5" w:rsidRPr="008270BA" w:rsidRDefault="008270BA">
            <w:pPr>
              <w:pStyle w:val="TableParagraph"/>
              <w:spacing w:before="75"/>
              <w:ind w:left="721" w:right="676"/>
              <w:jc w:val="center"/>
              <w:rPr>
                <w:w w:val="90"/>
                <w:sz w:val="24"/>
              </w:rPr>
            </w:pPr>
            <w:r w:rsidRPr="008270BA">
              <w:rPr>
                <w:w w:val="90"/>
                <w:sz w:val="24"/>
              </w:rPr>
              <w:t>TBD</w:t>
            </w:r>
          </w:p>
        </w:tc>
      </w:tr>
      <w:tr w:rsidR="00A36BA5" w:rsidRPr="008270BA" w14:paraId="52F0A2D4" w14:textId="77777777">
        <w:trPr>
          <w:trHeight w:val="420"/>
        </w:trPr>
        <w:tc>
          <w:tcPr>
            <w:tcW w:w="3360" w:type="dxa"/>
          </w:tcPr>
          <w:p w14:paraId="6D009116" w14:textId="77777777" w:rsidR="00A36BA5" w:rsidRPr="008270BA" w:rsidRDefault="008270BA">
            <w:pPr>
              <w:pStyle w:val="TableParagraph"/>
              <w:spacing w:before="75"/>
              <w:ind w:left="117"/>
              <w:rPr>
                <w:w w:val="90"/>
                <w:sz w:val="24"/>
              </w:rPr>
            </w:pPr>
            <w:r w:rsidRPr="008270BA">
              <w:rPr>
                <w:w w:val="90"/>
                <w:sz w:val="24"/>
              </w:rPr>
              <w:t>MSM negros</w:t>
            </w:r>
          </w:p>
        </w:tc>
        <w:tc>
          <w:tcPr>
            <w:tcW w:w="3220" w:type="dxa"/>
          </w:tcPr>
          <w:p w14:paraId="49CAE9AE" w14:textId="77777777" w:rsidR="00A36BA5" w:rsidRPr="008270BA" w:rsidRDefault="008270BA">
            <w:pPr>
              <w:pStyle w:val="TableParagraph"/>
              <w:spacing w:before="75"/>
              <w:ind w:right="1372"/>
              <w:jc w:val="right"/>
              <w:rPr>
                <w:w w:val="90"/>
                <w:sz w:val="24"/>
              </w:rPr>
            </w:pPr>
            <w:r w:rsidRPr="008270BA">
              <w:rPr>
                <w:w w:val="90"/>
                <w:sz w:val="24"/>
              </w:rPr>
              <w:t>50%</w:t>
            </w:r>
          </w:p>
        </w:tc>
        <w:tc>
          <w:tcPr>
            <w:tcW w:w="3080" w:type="dxa"/>
          </w:tcPr>
          <w:p w14:paraId="08738637" w14:textId="77777777" w:rsidR="00A36BA5" w:rsidRPr="008270BA" w:rsidRDefault="008270BA">
            <w:pPr>
              <w:pStyle w:val="TableParagraph"/>
              <w:spacing w:before="75"/>
              <w:ind w:left="719" w:right="676"/>
              <w:jc w:val="center"/>
              <w:rPr>
                <w:w w:val="90"/>
                <w:sz w:val="24"/>
              </w:rPr>
            </w:pPr>
            <w:r w:rsidRPr="008270BA">
              <w:rPr>
                <w:w w:val="90"/>
                <w:sz w:val="24"/>
              </w:rPr>
              <w:t>2,770</w:t>
            </w:r>
          </w:p>
        </w:tc>
      </w:tr>
      <w:tr w:rsidR="00A36BA5" w:rsidRPr="008270BA" w14:paraId="725A2B90" w14:textId="77777777">
        <w:trPr>
          <w:trHeight w:val="420"/>
        </w:trPr>
        <w:tc>
          <w:tcPr>
            <w:tcW w:w="3360" w:type="dxa"/>
          </w:tcPr>
          <w:p w14:paraId="74A3775A" w14:textId="77777777" w:rsidR="00A36BA5" w:rsidRPr="008270BA" w:rsidRDefault="008270BA">
            <w:pPr>
              <w:pStyle w:val="TableParagraph"/>
              <w:spacing w:before="75"/>
              <w:ind w:left="117"/>
              <w:rPr>
                <w:w w:val="90"/>
                <w:sz w:val="24"/>
              </w:rPr>
            </w:pPr>
            <w:r w:rsidRPr="008270BA">
              <w:rPr>
                <w:w w:val="90"/>
                <w:sz w:val="24"/>
              </w:rPr>
              <w:t xml:space="preserve">Mujeres </w:t>
            </w:r>
            <w:proofErr w:type="spellStart"/>
            <w:r w:rsidRPr="008270BA">
              <w:rPr>
                <w:w w:val="90"/>
                <w:sz w:val="24"/>
              </w:rPr>
              <w:t>cisgénero</w:t>
            </w:r>
            <w:proofErr w:type="spellEnd"/>
          </w:p>
        </w:tc>
        <w:tc>
          <w:tcPr>
            <w:tcW w:w="3220" w:type="dxa"/>
          </w:tcPr>
          <w:p w14:paraId="3E26BDD1" w14:textId="77777777" w:rsidR="00A36BA5" w:rsidRPr="008270BA" w:rsidRDefault="008270BA">
            <w:pPr>
              <w:pStyle w:val="TableParagraph"/>
              <w:spacing w:before="75"/>
              <w:ind w:right="1372"/>
              <w:jc w:val="right"/>
              <w:rPr>
                <w:w w:val="90"/>
                <w:sz w:val="24"/>
              </w:rPr>
            </w:pPr>
            <w:r w:rsidRPr="008270BA">
              <w:rPr>
                <w:w w:val="90"/>
                <w:sz w:val="24"/>
              </w:rPr>
              <w:t>50%</w:t>
            </w:r>
          </w:p>
        </w:tc>
        <w:tc>
          <w:tcPr>
            <w:tcW w:w="3080" w:type="dxa"/>
          </w:tcPr>
          <w:p w14:paraId="6F4CDA28" w14:textId="77777777" w:rsidR="00A36BA5" w:rsidRPr="008270BA" w:rsidRDefault="008270BA">
            <w:pPr>
              <w:pStyle w:val="TableParagraph"/>
              <w:spacing w:before="75"/>
              <w:ind w:left="719" w:right="676"/>
              <w:jc w:val="center"/>
              <w:rPr>
                <w:w w:val="90"/>
                <w:sz w:val="24"/>
              </w:rPr>
            </w:pPr>
            <w:r w:rsidRPr="008270BA">
              <w:rPr>
                <w:w w:val="90"/>
                <w:sz w:val="24"/>
              </w:rPr>
              <w:t>1,087</w:t>
            </w:r>
          </w:p>
        </w:tc>
      </w:tr>
      <w:tr w:rsidR="00A36BA5" w:rsidRPr="008270BA" w14:paraId="0696BA06" w14:textId="77777777">
        <w:trPr>
          <w:trHeight w:val="440"/>
        </w:trPr>
        <w:tc>
          <w:tcPr>
            <w:tcW w:w="3360" w:type="dxa"/>
          </w:tcPr>
          <w:p w14:paraId="0846170C" w14:textId="77777777" w:rsidR="00A36BA5" w:rsidRPr="008270BA" w:rsidRDefault="008270BA">
            <w:pPr>
              <w:pStyle w:val="TableParagraph"/>
              <w:spacing w:before="75"/>
              <w:ind w:left="117"/>
              <w:rPr>
                <w:w w:val="90"/>
                <w:sz w:val="24"/>
              </w:rPr>
            </w:pPr>
            <w:r w:rsidRPr="008270BA">
              <w:rPr>
                <w:w w:val="90"/>
                <w:sz w:val="24"/>
              </w:rPr>
              <w:t>PWID</w:t>
            </w:r>
          </w:p>
        </w:tc>
        <w:tc>
          <w:tcPr>
            <w:tcW w:w="3220" w:type="dxa"/>
          </w:tcPr>
          <w:p w14:paraId="03EED1D9" w14:textId="77777777" w:rsidR="00A36BA5" w:rsidRPr="008270BA" w:rsidRDefault="008270BA">
            <w:pPr>
              <w:pStyle w:val="TableParagraph"/>
              <w:spacing w:before="75"/>
              <w:ind w:right="1372"/>
              <w:jc w:val="right"/>
              <w:rPr>
                <w:w w:val="90"/>
                <w:sz w:val="24"/>
              </w:rPr>
            </w:pPr>
            <w:r w:rsidRPr="008270BA">
              <w:rPr>
                <w:w w:val="90"/>
                <w:sz w:val="24"/>
              </w:rPr>
              <w:t>50%</w:t>
            </w:r>
          </w:p>
        </w:tc>
        <w:tc>
          <w:tcPr>
            <w:tcW w:w="3080" w:type="dxa"/>
          </w:tcPr>
          <w:p w14:paraId="7BF524EE" w14:textId="77777777" w:rsidR="00A36BA5" w:rsidRPr="008270BA" w:rsidRDefault="008270BA">
            <w:pPr>
              <w:pStyle w:val="TableParagraph"/>
              <w:spacing w:before="75"/>
              <w:ind w:left="719" w:right="676"/>
              <w:jc w:val="center"/>
              <w:rPr>
                <w:w w:val="90"/>
                <w:sz w:val="24"/>
              </w:rPr>
            </w:pPr>
            <w:r w:rsidRPr="008270BA">
              <w:rPr>
                <w:w w:val="90"/>
                <w:sz w:val="24"/>
              </w:rPr>
              <w:t>1,285</w:t>
            </w:r>
          </w:p>
        </w:tc>
      </w:tr>
      <w:tr w:rsidR="00A36BA5" w:rsidRPr="008270BA" w14:paraId="2AB484D0" w14:textId="77777777">
        <w:trPr>
          <w:trHeight w:val="420"/>
        </w:trPr>
        <w:tc>
          <w:tcPr>
            <w:tcW w:w="3360" w:type="dxa"/>
          </w:tcPr>
          <w:p w14:paraId="5F6B1985" w14:textId="77777777" w:rsidR="00A36BA5" w:rsidRPr="008270BA" w:rsidRDefault="008270BA">
            <w:pPr>
              <w:pStyle w:val="TableParagraph"/>
              <w:ind w:left="117"/>
              <w:rPr>
                <w:w w:val="90"/>
                <w:sz w:val="24"/>
              </w:rPr>
            </w:pPr>
            <w:r w:rsidRPr="008270BA">
              <w:rPr>
                <w:w w:val="90"/>
                <w:sz w:val="24"/>
              </w:rPr>
              <w:t>MSM latinos</w:t>
            </w:r>
          </w:p>
        </w:tc>
        <w:tc>
          <w:tcPr>
            <w:tcW w:w="3220" w:type="dxa"/>
          </w:tcPr>
          <w:p w14:paraId="2ABEFD00" w14:textId="77777777" w:rsidR="00A36BA5" w:rsidRPr="008270BA" w:rsidRDefault="008270BA">
            <w:pPr>
              <w:pStyle w:val="TableParagraph"/>
              <w:ind w:right="1372"/>
              <w:jc w:val="right"/>
              <w:rPr>
                <w:w w:val="90"/>
                <w:sz w:val="24"/>
              </w:rPr>
            </w:pPr>
            <w:r w:rsidRPr="008270BA">
              <w:rPr>
                <w:w w:val="90"/>
                <w:sz w:val="24"/>
              </w:rPr>
              <w:t>50%</w:t>
            </w:r>
          </w:p>
        </w:tc>
        <w:tc>
          <w:tcPr>
            <w:tcW w:w="3080" w:type="dxa"/>
          </w:tcPr>
          <w:p w14:paraId="7BFCC23C" w14:textId="77777777" w:rsidR="00A36BA5" w:rsidRPr="008270BA" w:rsidRDefault="008270BA">
            <w:pPr>
              <w:pStyle w:val="TableParagraph"/>
              <w:ind w:left="721" w:right="675"/>
              <w:jc w:val="center"/>
              <w:rPr>
                <w:w w:val="90"/>
                <w:sz w:val="24"/>
              </w:rPr>
            </w:pPr>
            <w:r w:rsidRPr="008270BA">
              <w:rPr>
                <w:w w:val="90"/>
                <w:sz w:val="24"/>
              </w:rPr>
              <w:t>790</w:t>
            </w:r>
          </w:p>
        </w:tc>
      </w:tr>
      <w:tr w:rsidR="00A36BA5" w:rsidRPr="008270BA" w14:paraId="0DFAC334" w14:textId="77777777">
        <w:trPr>
          <w:trHeight w:val="400"/>
        </w:trPr>
        <w:tc>
          <w:tcPr>
            <w:tcW w:w="3360" w:type="dxa"/>
          </w:tcPr>
          <w:p w14:paraId="6A57F3B4" w14:textId="77777777" w:rsidR="00A36BA5" w:rsidRPr="008270BA" w:rsidRDefault="008270BA">
            <w:pPr>
              <w:pStyle w:val="TableParagraph"/>
              <w:ind w:left="117"/>
              <w:rPr>
                <w:w w:val="90"/>
                <w:sz w:val="24"/>
              </w:rPr>
            </w:pPr>
            <w:r w:rsidRPr="008270BA">
              <w:rPr>
                <w:w w:val="90"/>
                <w:sz w:val="24"/>
              </w:rPr>
              <w:t>MSM jóvenes</w:t>
            </w:r>
          </w:p>
        </w:tc>
        <w:tc>
          <w:tcPr>
            <w:tcW w:w="3220" w:type="dxa"/>
          </w:tcPr>
          <w:p w14:paraId="4B2D3FEB" w14:textId="77777777" w:rsidR="00A36BA5" w:rsidRPr="008270BA" w:rsidRDefault="008270BA">
            <w:pPr>
              <w:pStyle w:val="TableParagraph"/>
              <w:ind w:right="1372"/>
              <w:jc w:val="right"/>
              <w:rPr>
                <w:w w:val="90"/>
                <w:sz w:val="24"/>
              </w:rPr>
            </w:pPr>
            <w:r w:rsidRPr="008270BA">
              <w:rPr>
                <w:w w:val="90"/>
                <w:sz w:val="24"/>
              </w:rPr>
              <w:t>50%</w:t>
            </w:r>
          </w:p>
        </w:tc>
        <w:tc>
          <w:tcPr>
            <w:tcW w:w="3080" w:type="dxa"/>
          </w:tcPr>
          <w:p w14:paraId="21F9FA0F" w14:textId="77777777" w:rsidR="00A36BA5" w:rsidRPr="008270BA" w:rsidRDefault="008270BA">
            <w:pPr>
              <w:pStyle w:val="TableParagraph"/>
              <w:ind w:left="721" w:right="676"/>
              <w:jc w:val="center"/>
              <w:rPr>
                <w:w w:val="90"/>
                <w:sz w:val="24"/>
              </w:rPr>
            </w:pPr>
            <w:r w:rsidRPr="008270BA">
              <w:rPr>
                <w:w w:val="90"/>
                <w:sz w:val="24"/>
              </w:rPr>
              <w:t>TBD</w:t>
            </w:r>
          </w:p>
        </w:tc>
      </w:tr>
    </w:tbl>
    <w:p w14:paraId="681F6CBE" w14:textId="77777777" w:rsidR="00A36BA5" w:rsidRDefault="00A36BA5">
      <w:pPr>
        <w:pStyle w:val="BodyText"/>
        <w:rPr>
          <w:b/>
          <w:w w:val="90"/>
          <w:sz w:val="20"/>
        </w:rPr>
      </w:pPr>
    </w:p>
    <w:p w14:paraId="189BA079" w14:textId="77777777" w:rsidR="00350D69" w:rsidRDefault="00350D69">
      <w:pPr>
        <w:pStyle w:val="BodyText"/>
        <w:rPr>
          <w:b/>
          <w:w w:val="90"/>
          <w:sz w:val="20"/>
        </w:rPr>
      </w:pPr>
    </w:p>
    <w:p w14:paraId="25680791" w14:textId="77777777" w:rsidR="00350D69" w:rsidRPr="008270BA" w:rsidRDefault="00350D69">
      <w:pPr>
        <w:pStyle w:val="BodyText"/>
        <w:rPr>
          <w:b/>
          <w:w w:val="90"/>
          <w:sz w:val="20"/>
        </w:rPr>
      </w:pPr>
    </w:p>
    <w:p w14:paraId="22F715B4" w14:textId="338BD00B" w:rsidR="00A36BA5" w:rsidRPr="008270BA" w:rsidRDefault="009D4B53">
      <w:pPr>
        <w:pStyle w:val="BodyText"/>
        <w:spacing w:before="9"/>
        <w:rPr>
          <w:b/>
          <w:w w:val="90"/>
          <w:sz w:val="14"/>
        </w:rPr>
      </w:pPr>
      <w:r>
        <w:rPr>
          <w:b/>
          <w:noProof/>
          <w:sz w:val="14"/>
        </w:rPr>
        <w:lastRenderedPageBreak/>
        <mc:AlternateContent>
          <mc:Choice Requires="wps">
            <w:drawing>
              <wp:anchor distT="45720" distB="45720" distL="114300" distR="114300" simplePos="0" relativeHeight="487621632" behindDoc="0" locked="0" layoutInCell="1" allowOverlap="1" wp14:anchorId="042F2918" wp14:editId="60A1A034">
                <wp:simplePos x="0" y="0"/>
                <wp:positionH relativeFrom="column">
                  <wp:posOffset>5918200</wp:posOffset>
                </wp:positionH>
                <wp:positionV relativeFrom="paragraph">
                  <wp:posOffset>300990</wp:posOffset>
                </wp:positionV>
                <wp:extent cx="405765" cy="25209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1066E" w14:textId="69AC3801" w:rsidR="002F0576" w:rsidRPr="002F0576" w:rsidRDefault="00A3515D" w:rsidP="002F0576">
                            <w:pPr>
                              <w:rPr>
                                <w:lang w:val="en-US"/>
                              </w:rPr>
                            </w:pPr>
                            <w:r>
                              <w:t>32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2F2918" id="_x0000_s1052" type="#_x0000_t202" style="position:absolute;margin-left:466pt;margin-top:23.7pt;width:31.95pt;height:19.85pt;z-index:487621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" stroked="f">
                <v:textbox style="mso-fit-shape-to-text:t">
                  <w:txbxContent>
                    <w:p w14:paraId="6A81066E" w14:textId="69AC3801" w:rsidR="002F0576" w:rsidRPr="002F0576" w:rsidRDefault="00A3515D" w:rsidP="002F0576">
                      <w:pPr>
                        <w:rPr>
                          <w:lang w:val="en-US"/>
                        </w:rPr>
                      </w:pPr>
                      <w:r>
                        <w:t>32</w:t>
                      </w:r>
                    </w:p>
                  </w:txbxContent>
                </v:textbox>
                <w10:wrap type="square"/>
              </v:shape>
            </w:pict>
          </mc:Fallback>
        </mc:AlternateContent>
      </w:r>
    </w:p>
    <w:tbl>
      <w:tblPr>
        <w:tblStyle w:val="TableNormal1"/>
        <w:tblW w:w="0" w:type="auto"/>
        <w:tblInd w:w="2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80"/>
        <w:gridCol w:w="2740"/>
      </w:tblGrid>
      <w:tr w:rsidR="00A36BA5" w:rsidRPr="008270BA" w14:paraId="65948FD6" w14:textId="77777777">
        <w:trPr>
          <w:trHeight w:val="420"/>
        </w:trPr>
        <w:tc>
          <w:tcPr>
            <w:tcW w:w="5420" w:type="dxa"/>
            <w:gridSpan w:val="2"/>
            <w:shd w:val="clear" w:color="auto" w:fill="001F5F"/>
          </w:tcPr>
          <w:p w14:paraId="7C084D90" w14:textId="77777777" w:rsidR="00A36BA5" w:rsidRPr="008270BA" w:rsidRDefault="008270BA">
            <w:pPr>
              <w:pStyle w:val="TableParagraph"/>
              <w:ind w:left="117"/>
              <w:rPr>
                <w:b/>
                <w:w w:val="90"/>
                <w:sz w:val="24"/>
              </w:rPr>
            </w:pPr>
            <w:r w:rsidRPr="008270BA">
              <w:rPr>
                <w:b/>
                <w:color w:val="FFFFFF"/>
                <w:w w:val="90"/>
                <w:sz w:val="24"/>
              </w:rPr>
              <w:t>Tabla 7. Metas de cantidad de personas en PrEP por año</w:t>
            </w:r>
          </w:p>
        </w:tc>
      </w:tr>
      <w:tr w:rsidR="00A36BA5" w:rsidRPr="008270BA" w14:paraId="7739A93E" w14:textId="77777777">
        <w:trPr>
          <w:trHeight w:val="420"/>
        </w:trPr>
        <w:tc>
          <w:tcPr>
            <w:tcW w:w="2680" w:type="dxa"/>
            <w:shd w:val="clear" w:color="auto" w:fill="D9D9D9"/>
          </w:tcPr>
          <w:p w14:paraId="0F5EEEC5" w14:textId="77777777" w:rsidR="00A36BA5" w:rsidRPr="008270BA" w:rsidRDefault="008270BA">
            <w:pPr>
              <w:pStyle w:val="TableParagraph"/>
              <w:ind w:left="117"/>
              <w:rPr>
                <w:b/>
                <w:w w:val="90"/>
                <w:sz w:val="24"/>
              </w:rPr>
            </w:pPr>
            <w:r w:rsidRPr="008270BA">
              <w:rPr>
                <w:b/>
                <w:w w:val="90"/>
                <w:sz w:val="24"/>
              </w:rPr>
              <w:t>Año</w:t>
            </w:r>
          </w:p>
        </w:tc>
        <w:tc>
          <w:tcPr>
            <w:tcW w:w="2740" w:type="dxa"/>
            <w:shd w:val="clear" w:color="auto" w:fill="D9D9D9"/>
          </w:tcPr>
          <w:p w14:paraId="47FAAFDE" w14:textId="77777777" w:rsidR="00A36BA5" w:rsidRPr="008270BA" w:rsidRDefault="008270BA">
            <w:pPr>
              <w:pStyle w:val="TableParagraph"/>
              <w:ind w:left="888" w:right="839"/>
              <w:jc w:val="center"/>
              <w:rPr>
                <w:b/>
                <w:w w:val="90"/>
                <w:sz w:val="24"/>
              </w:rPr>
            </w:pPr>
            <w:r w:rsidRPr="008270BA">
              <w:rPr>
                <w:b/>
                <w:w w:val="90"/>
                <w:sz w:val="24"/>
              </w:rPr>
              <w:t># en PrEP</w:t>
            </w:r>
          </w:p>
        </w:tc>
      </w:tr>
      <w:tr w:rsidR="00A36BA5" w:rsidRPr="008270BA" w14:paraId="7833E4CF" w14:textId="77777777">
        <w:trPr>
          <w:trHeight w:val="420"/>
        </w:trPr>
        <w:tc>
          <w:tcPr>
            <w:tcW w:w="2680" w:type="dxa"/>
            <w:shd w:val="clear" w:color="auto" w:fill="D9D9D9"/>
          </w:tcPr>
          <w:p w14:paraId="7A1EA84E" w14:textId="77777777" w:rsidR="00A36BA5" w:rsidRPr="008270BA" w:rsidRDefault="008270BA">
            <w:pPr>
              <w:pStyle w:val="TableParagraph"/>
              <w:ind w:left="117"/>
              <w:rPr>
                <w:i/>
                <w:w w:val="90"/>
                <w:sz w:val="24"/>
              </w:rPr>
            </w:pPr>
            <w:r w:rsidRPr="008270BA">
              <w:rPr>
                <w:i/>
                <w:w w:val="90"/>
                <w:sz w:val="24"/>
              </w:rPr>
              <w:t>Línea de referencia (2019)</w:t>
            </w:r>
          </w:p>
        </w:tc>
        <w:tc>
          <w:tcPr>
            <w:tcW w:w="2740" w:type="dxa"/>
            <w:shd w:val="clear" w:color="auto" w:fill="D9D9D9"/>
          </w:tcPr>
          <w:p w14:paraId="052BB10D" w14:textId="77777777" w:rsidR="00A36BA5" w:rsidRPr="008270BA" w:rsidRDefault="008270BA">
            <w:pPr>
              <w:pStyle w:val="TableParagraph"/>
              <w:ind w:left="884" w:right="839"/>
              <w:jc w:val="center"/>
              <w:rPr>
                <w:i/>
                <w:w w:val="90"/>
                <w:sz w:val="24"/>
              </w:rPr>
            </w:pPr>
            <w:r w:rsidRPr="008270BA">
              <w:rPr>
                <w:i/>
                <w:w w:val="90"/>
                <w:sz w:val="24"/>
              </w:rPr>
              <w:t>2,790</w:t>
            </w:r>
          </w:p>
        </w:tc>
      </w:tr>
      <w:tr w:rsidR="00A36BA5" w:rsidRPr="008270BA" w14:paraId="23036C7C" w14:textId="77777777">
        <w:trPr>
          <w:trHeight w:val="420"/>
        </w:trPr>
        <w:tc>
          <w:tcPr>
            <w:tcW w:w="2680" w:type="dxa"/>
          </w:tcPr>
          <w:p w14:paraId="79DDD607" w14:textId="77777777" w:rsidR="00A36BA5" w:rsidRPr="008270BA" w:rsidRDefault="008270BA">
            <w:pPr>
              <w:pStyle w:val="TableParagraph"/>
              <w:ind w:left="117"/>
              <w:rPr>
                <w:w w:val="90"/>
                <w:sz w:val="24"/>
              </w:rPr>
            </w:pPr>
            <w:r w:rsidRPr="008270BA">
              <w:rPr>
                <w:w w:val="90"/>
                <w:sz w:val="24"/>
              </w:rPr>
              <w:t>Año 1</w:t>
            </w:r>
          </w:p>
        </w:tc>
        <w:tc>
          <w:tcPr>
            <w:tcW w:w="2740" w:type="dxa"/>
          </w:tcPr>
          <w:p w14:paraId="4E68BC0F" w14:textId="77777777" w:rsidR="00A36BA5" w:rsidRPr="008270BA" w:rsidRDefault="008270BA">
            <w:pPr>
              <w:pStyle w:val="TableParagraph"/>
              <w:ind w:left="884" w:right="839"/>
              <w:jc w:val="center"/>
              <w:rPr>
                <w:w w:val="90"/>
                <w:sz w:val="24"/>
              </w:rPr>
            </w:pPr>
            <w:r w:rsidRPr="008270BA">
              <w:rPr>
                <w:w w:val="90"/>
                <w:sz w:val="24"/>
              </w:rPr>
              <w:t>2,790</w:t>
            </w:r>
          </w:p>
        </w:tc>
      </w:tr>
      <w:tr w:rsidR="00A36BA5" w:rsidRPr="008270BA" w14:paraId="5CFC1982" w14:textId="77777777">
        <w:trPr>
          <w:trHeight w:val="420"/>
        </w:trPr>
        <w:tc>
          <w:tcPr>
            <w:tcW w:w="2680" w:type="dxa"/>
          </w:tcPr>
          <w:p w14:paraId="55658D23" w14:textId="77777777" w:rsidR="00A36BA5" w:rsidRPr="008270BA" w:rsidRDefault="008270BA">
            <w:pPr>
              <w:pStyle w:val="TableParagraph"/>
              <w:ind w:left="117"/>
              <w:rPr>
                <w:w w:val="90"/>
                <w:sz w:val="24"/>
              </w:rPr>
            </w:pPr>
            <w:r w:rsidRPr="008270BA">
              <w:rPr>
                <w:w w:val="90"/>
                <w:sz w:val="24"/>
              </w:rPr>
              <w:t>Año 2</w:t>
            </w:r>
          </w:p>
        </w:tc>
        <w:tc>
          <w:tcPr>
            <w:tcW w:w="2740" w:type="dxa"/>
          </w:tcPr>
          <w:p w14:paraId="33E46B7B" w14:textId="77777777" w:rsidR="00A36BA5" w:rsidRPr="008270BA" w:rsidRDefault="008270BA">
            <w:pPr>
              <w:pStyle w:val="TableParagraph"/>
              <w:ind w:left="884" w:right="839"/>
              <w:jc w:val="center"/>
              <w:rPr>
                <w:w w:val="90"/>
                <w:sz w:val="24"/>
              </w:rPr>
            </w:pPr>
            <w:r w:rsidRPr="008270BA">
              <w:rPr>
                <w:w w:val="90"/>
                <w:sz w:val="24"/>
              </w:rPr>
              <w:t>3,837</w:t>
            </w:r>
          </w:p>
        </w:tc>
      </w:tr>
      <w:tr w:rsidR="00A36BA5" w:rsidRPr="008270BA" w14:paraId="18AE1B4D" w14:textId="77777777">
        <w:trPr>
          <w:trHeight w:val="420"/>
        </w:trPr>
        <w:tc>
          <w:tcPr>
            <w:tcW w:w="2680" w:type="dxa"/>
          </w:tcPr>
          <w:p w14:paraId="4E6B8989" w14:textId="77777777" w:rsidR="00A36BA5" w:rsidRPr="008270BA" w:rsidRDefault="008270BA">
            <w:pPr>
              <w:pStyle w:val="TableParagraph"/>
              <w:spacing w:before="75"/>
              <w:ind w:left="117"/>
              <w:rPr>
                <w:w w:val="90"/>
                <w:sz w:val="24"/>
              </w:rPr>
            </w:pPr>
            <w:r w:rsidRPr="008270BA">
              <w:rPr>
                <w:w w:val="90"/>
                <w:sz w:val="24"/>
              </w:rPr>
              <w:t>Año 3</w:t>
            </w:r>
          </w:p>
        </w:tc>
        <w:tc>
          <w:tcPr>
            <w:tcW w:w="2740" w:type="dxa"/>
          </w:tcPr>
          <w:p w14:paraId="0E882989" w14:textId="77777777" w:rsidR="00A36BA5" w:rsidRPr="008270BA" w:rsidRDefault="008270BA">
            <w:pPr>
              <w:pStyle w:val="TableParagraph"/>
              <w:spacing w:before="75"/>
              <w:ind w:left="884" w:right="839"/>
              <w:jc w:val="center"/>
              <w:rPr>
                <w:w w:val="90"/>
                <w:sz w:val="24"/>
              </w:rPr>
            </w:pPr>
            <w:r w:rsidRPr="008270BA">
              <w:rPr>
                <w:w w:val="90"/>
                <w:sz w:val="24"/>
              </w:rPr>
              <w:t>4,885</w:t>
            </w:r>
          </w:p>
        </w:tc>
      </w:tr>
      <w:tr w:rsidR="00A36BA5" w:rsidRPr="008270BA" w14:paraId="09056774" w14:textId="77777777">
        <w:trPr>
          <w:trHeight w:val="420"/>
        </w:trPr>
        <w:tc>
          <w:tcPr>
            <w:tcW w:w="2680" w:type="dxa"/>
          </w:tcPr>
          <w:p w14:paraId="6A5A2B18" w14:textId="77777777" w:rsidR="00A36BA5" w:rsidRPr="008270BA" w:rsidRDefault="008270BA">
            <w:pPr>
              <w:pStyle w:val="TableParagraph"/>
              <w:spacing w:before="75"/>
              <w:ind w:left="117"/>
              <w:rPr>
                <w:w w:val="90"/>
                <w:sz w:val="24"/>
              </w:rPr>
            </w:pPr>
            <w:r w:rsidRPr="008270BA">
              <w:rPr>
                <w:w w:val="90"/>
                <w:sz w:val="24"/>
              </w:rPr>
              <w:t>Año 4</w:t>
            </w:r>
          </w:p>
        </w:tc>
        <w:tc>
          <w:tcPr>
            <w:tcW w:w="2740" w:type="dxa"/>
          </w:tcPr>
          <w:p w14:paraId="2034148F" w14:textId="77777777" w:rsidR="00A36BA5" w:rsidRPr="008270BA" w:rsidRDefault="008270BA">
            <w:pPr>
              <w:pStyle w:val="TableParagraph"/>
              <w:spacing w:before="75"/>
              <w:ind w:left="884" w:right="839"/>
              <w:jc w:val="center"/>
              <w:rPr>
                <w:w w:val="90"/>
                <w:sz w:val="24"/>
              </w:rPr>
            </w:pPr>
            <w:r w:rsidRPr="008270BA">
              <w:rPr>
                <w:w w:val="90"/>
                <w:sz w:val="24"/>
              </w:rPr>
              <w:t>5,932</w:t>
            </w:r>
          </w:p>
        </w:tc>
      </w:tr>
      <w:tr w:rsidR="00A36BA5" w:rsidRPr="008270BA" w14:paraId="4868D434" w14:textId="77777777">
        <w:trPr>
          <w:trHeight w:val="420"/>
        </w:trPr>
        <w:tc>
          <w:tcPr>
            <w:tcW w:w="2680" w:type="dxa"/>
          </w:tcPr>
          <w:p w14:paraId="2F5E74C7" w14:textId="77777777" w:rsidR="00A36BA5" w:rsidRPr="008270BA" w:rsidRDefault="008270BA">
            <w:pPr>
              <w:pStyle w:val="TableParagraph"/>
              <w:spacing w:before="75"/>
              <w:ind w:left="117"/>
              <w:rPr>
                <w:w w:val="90"/>
                <w:sz w:val="24"/>
              </w:rPr>
            </w:pPr>
            <w:r w:rsidRPr="008270BA">
              <w:rPr>
                <w:w w:val="90"/>
                <w:sz w:val="24"/>
              </w:rPr>
              <w:t>Año 5 *</w:t>
            </w:r>
          </w:p>
        </w:tc>
        <w:tc>
          <w:tcPr>
            <w:tcW w:w="2740" w:type="dxa"/>
          </w:tcPr>
          <w:p w14:paraId="55B2D381" w14:textId="77777777" w:rsidR="00A36BA5" w:rsidRPr="008270BA" w:rsidRDefault="008270BA">
            <w:pPr>
              <w:pStyle w:val="TableParagraph"/>
              <w:spacing w:before="75"/>
              <w:ind w:left="884" w:right="839"/>
              <w:jc w:val="center"/>
              <w:rPr>
                <w:w w:val="90"/>
                <w:sz w:val="24"/>
              </w:rPr>
            </w:pPr>
            <w:r w:rsidRPr="008270BA">
              <w:rPr>
                <w:w w:val="90"/>
                <w:sz w:val="24"/>
              </w:rPr>
              <w:t>6,980</w:t>
            </w:r>
          </w:p>
        </w:tc>
      </w:tr>
    </w:tbl>
    <w:p w14:paraId="6701534B" w14:textId="77777777" w:rsidR="00A36BA5" w:rsidRDefault="00A36BA5">
      <w:pPr>
        <w:jc w:val="center"/>
        <w:rPr>
          <w:w w:val="90"/>
          <w:sz w:val="24"/>
        </w:rPr>
      </w:pPr>
    </w:p>
    <w:p w14:paraId="511DBA8A" w14:textId="77777777" w:rsidR="00A3515D" w:rsidRPr="00A3515D" w:rsidRDefault="00A3515D" w:rsidP="00A3515D">
      <w:pPr>
        <w:rPr>
          <w:sz w:val="24"/>
        </w:rPr>
      </w:pPr>
    </w:p>
    <w:p w14:paraId="58164282" w14:textId="77777777" w:rsidR="00A3515D" w:rsidRPr="00A3515D" w:rsidRDefault="00A3515D" w:rsidP="00A3515D">
      <w:pPr>
        <w:rPr>
          <w:sz w:val="24"/>
        </w:rPr>
      </w:pPr>
    </w:p>
    <w:p w14:paraId="1B2F735D" w14:textId="77777777" w:rsidR="00A3515D" w:rsidRPr="00A3515D" w:rsidRDefault="00A3515D" w:rsidP="00A3515D">
      <w:pPr>
        <w:rPr>
          <w:sz w:val="24"/>
        </w:rPr>
      </w:pPr>
    </w:p>
    <w:p w14:paraId="17F87D2A" w14:textId="77777777" w:rsidR="00A3515D" w:rsidRPr="00A3515D" w:rsidRDefault="00A3515D" w:rsidP="00A3515D">
      <w:pPr>
        <w:rPr>
          <w:sz w:val="24"/>
        </w:rPr>
      </w:pPr>
    </w:p>
    <w:p w14:paraId="50313A69" w14:textId="77777777" w:rsidR="00A3515D" w:rsidRPr="00A3515D" w:rsidRDefault="00A3515D" w:rsidP="00A3515D">
      <w:pPr>
        <w:rPr>
          <w:sz w:val="24"/>
        </w:rPr>
      </w:pPr>
    </w:p>
    <w:p w14:paraId="48FCEB45" w14:textId="2E511F7B" w:rsidR="00A3515D" w:rsidRDefault="00A3515D" w:rsidP="00A3515D">
      <w:pPr>
        <w:tabs>
          <w:tab w:val="left" w:pos="7668"/>
        </w:tabs>
        <w:rPr>
          <w:w w:val="90"/>
          <w:sz w:val="24"/>
        </w:rPr>
      </w:pPr>
      <w:r>
        <w:rPr>
          <w:w w:val="90"/>
          <w:sz w:val="24"/>
        </w:rPr>
        <w:tab/>
      </w:r>
    </w:p>
    <w:p w14:paraId="78A1AEA5" w14:textId="23C397F9" w:rsidR="00A3515D" w:rsidRPr="00A3515D" w:rsidRDefault="009D4B53" w:rsidP="00A3515D">
      <w:pPr>
        <w:tabs>
          <w:tab w:val="left" w:pos="7668"/>
        </w:tabs>
        <w:rPr>
          <w:sz w:val="24"/>
        </w:rPr>
        <w:sectPr w:rsidR="00A3515D" w:rsidRPr="00A3515D">
          <w:pgSz w:w="12240" w:h="15840"/>
          <w:pgMar w:top="1240" w:right="980" w:bottom="1280" w:left="1060" w:header="731" w:footer="997" w:gutter="0"/>
          <w:cols w:space="720"/>
        </w:sectPr>
      </w:pPr>
      <w:r>
        <w:rPr>
          <w:noProof/>
          <w:sz w:val="24"/>
        </w:rPr>
        <mc:AlternateContent>
          <mc:Choice Requires="wps">
            <w:drawing>
              <wp:anchor distT="45720" distB="45720" distL="114300" distR="114300" simplePos="0" relativeHeight="487622656" behindDoc="0" locked="0" layoutInCell="1" allowOverlap="1" wp14:anchorId="042F2918" wp14:editId="38049B38">
                <wp:simplePos x="0" y="0"/>
                <wp:positionH relativeFrom="column">
                  <wp:posOffset>5989320</wp:posOffset>
                </wp:positionH>
                <wp:positionV relativeFrom="paragraph">
                  <wp:posOffset>4604385</wp:posOffset>
                </wp:positionV>
                <wp:extent cx="405765" cy="25209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2269E" w14:textId="480C1320" w:rsidR="00A3515D" w:rsidRPr="002F0576" w:rsidRDefault="00A3515D" w:rsidP="00A3515D">
                            <w:pPr>
                              <w:rPr>
                                <w:lang w:val="en-US"/>
                              </w:rPr>
                            </w:pPr>
                            <w:r>
                              <w:t>33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2F2918" id="_x0000_s1053" type="#_x0000_t202" style="position:absolute;margin-left:471.6pt;margin-top:362.55pt;width:31.95pt;height:19.85pt;z-index:487622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" stroked="f">
                <v:textbox style="mso-fit-shape-to-text:t">
                  <w:txbxContent>
                    <w:p w14:paraId="6162269E" w14:textId="480C1320" w:rsidR="00A3515D" w:rsidRPr="002F0576" w:rsidRDefault="00A3515D" w:rsidP="00A3515D">
                      <w:pPr>
                        <w:rPr>
                          <w:lang w:val="en-US"/>
                        </w:rPr>
                      </w:pPr>
                      <w:r>
                        <w:t>33</w:t>
                      </w:r>
                    </w:p>
                  </w:txbxContent>
                </v:textbox>
                <w10:wrap type="square"/>
              </v:shape>
            </w:pict>
          </mc:Fallback>
        </mc:AlternateContent>
      </w:r>
      <w:r w:rsidR="00A3515D">
        <w:rPr>
          <w:sz w:val="24"/>
        </w:rPr>
        <w:tab/>
      </w:r>
    </w:p>
    <w:p w14:paraId="6DB5F563" w14:textId="77777777" w:rsidR="00A36BA5" w:rsidRPr="008270BA" w:rsidRDefault="00A36BA5">
      <w:pPr>
        <w:pStyle w:val="BodyText"/>
        <w:spacing w:before="2"/>
        <w:rPr>
          <w:b/>
          <w:w w:val="90"/>
          <w:sz w:val="27"/>
        </w:rPr>
      </w:pPr>
    </w:p>
    <w:p w14:paraId="7893C422" w14:textId="77777777" w:rsidR="00A36BA5" w:rsidRPr="008270BA" w:rsidRDefault="008270BA">
      <w:pPr>
        <w:pStyle w:val="Heading2"/>
        <w:spacing w:before="104"/>
        <w:rPr>
          <w:w w:val="90"/>
        </w:rPr>
      </w:pPr>
      <w:bookmarkStart w:id="18" w:name="_TOC_250006"/>
      <w:r w:rsidRPr="008270BA">
        <w:rPr>
          <w:w w:val="90"/>
        </w:rPr>
        <w:t xml:space="preserve">Pilar 4: </w:t>
      </w:r>
      <w:bookmarkEnd w:id="18"/>
      <w:r w:rsidRPr="008270BA">
        <w:rPr>
          <w:w w:val="90"/>
        </w:rPr>
        <w:t>Responder</w:t>
      </w:r>
    </w:p>
    <w:p w14:paraId="57D83F37" w14:textId="77777777" w:rsidR="00A36BA5" w:rsidRPr="008270BA" w:rsidRDefault="00A36BA5">
      <w:pPr>
        <w:pStyle w:val="BodyText"/>
        <w:spacing w:before="5"/>
        <w:rPr>
          <w:w w:val="90"/>
          <w:sz w:val="27"/>
        </w:rPr>
      </w:pPr>
    </w:p>
    <w:p w14:paraId="1DFE0C5B" w14:textId="77777777" w:rsidR="00A36BA5" w:rsidRPr="008270BA" w:rsidRDefault="008270BA">
      <w:pPr>
        <w:pStyle w:val="Heading4"/>
        <w:spacing w:before="0" w:line="278" w:lineRule="auto"/>
        <w:ind w:left="573" w:right="656"/>
        <w:rPr>
          <w:w w:val="90"/>
        </w:rPr>
      </w:pPr>
      <w:r w:rsidRPr="008270BA">
        <w:rPr>
          <w:w w:val="90"/>
        </w:rPr>
        <w:t>Meta 4: Identificar e investigar grupos de transmisión de VIH y respuesta a los brotes de VIH.</w:t>
      </w:r>
    </w:p>
    <w:p w14:paraId="362CBDB3" w14:textId="77777777" w:rsidR="00A36BA5" w:rsidRPr="008270BA" w:rsidRDefault="00A36BA5">
      <w:pPr>
        <w:pStyle w:val="BodyText"/>
        <w:spacing w:before="9"/>
        <w:rPr>
          <w:rFonts w:ascii="Arial-BoldItalicMT"/>
          <w:b/>
          <w:i/>
          <w:w w:val="90"/>
          <w:sz w:val="27"/>
        </w:rPr>
      </w:pPr>
    </w:p>
    <w:p w14:paraId="6D76502B" w14:textId="77777777" w:rsidR="00A36BA5" w:rsidRPr="008270BA" w:rsidRDefault="008270BA">
      <w:pPr>
        <w:pStyle w:val="Heading3"/>
        <w:spacing w:line="261" w:lineRule="auto"/>
        <w:ind w:right="792"/>
        <w:rPr>
          <w:w w:val="90"/>
        </w:rPr>
      </w:pPr>
      <w:r w:rsidRPr="008270BA">
        <w:rPr>
          <w:w w:val="90"/>
        </w:rPr>
        <w:t>Estrategia 4.1: Mantener un sistema de datos de salud pública central de VIH sólido para identificar los brotes de VIH.</w:t>
      </w:r>
    </w:p>
    <w:p w14:paraId="6EEE8126" w14:textId="77777777" w:rsidR="00A36BA5" w:rsidRPr="008270BA" w:rsidRDefault="008270BA">
      <w:pPr>
        <w:pStyle w:val="ListParagraph"/>
        <w:numPr>
          <w:ilvl w:val="0"/>
          <w:numId w:val="4"/>
        </w:numPr>
        <w:tabs>
          <w:tab w:val="left" w:pos="903"/>
        </w:tabs>
        <w:spacing w:before="25" w:line="230" w:lineRule="auto"/>
        <w:ind w:right="952" w:hanging="360"/>
        <w:rPr>
          <w:w w:val="90"/>
        </w:rPr>
      </w:pPr>
      <w:r w:rsidRPr="008270BA">
        <w:rPr>
          <w:i/>
          <w:w w:val="90"/>
        </w:rPr>
        <w:t>Actividad 4.1.1</w:t>
      </w:r>
      <w:r w:rsidRPr="008270BA">
        <w:rPr>
          <w:w w:val="90"/>
        </w:rPr>
        <w:t>: Aumentar la capacidad de informe de laboratorio relacionado con VIH (a medida que nos enfocamos en vincular más PLWH con la atención el volumen de los laboratorios aumentará).</w:t>
      </w:r>
    </w:p>
    <w:p w14:paraId="4EDD6EA3" w14:textId="77777777" w:rsidR="00A36BA5" w:rsidRPr="008270BA" w:rsidRDefault="008270BA">
      <w:pPr>
        <w:pStyle w:val="ListParagraph"/>
        <w:numPr>
          <w:ilvl w:val="0"/>
          <w:numId w:val="4"/>
        </w:numPr>
        <w:tabs>
          <w:tab w:val="left" w:pos="902"/>
        </w:tabs>
        <w:spacing w:before="48"/>
        <w:ind w:left="901" w:hanging="162"/>
        <w:rPr>
          <w:w w:val="90"/>
        </w:rPr>
      </w:pPr>
      <w:r w:rsidRPr="008270BA">
        <w:rPr>
          <w:i/>
          <w:w w:val="90"/>
        </w:rPr>
        <w:t>Actividad 4.1.2</w:t>
      </w:r>
      <w:r w:rsidRPr="008270BA">
        <w:rPr>
          <w:w w:val="90"/>
        </w:rPr>
        <w:t>: Mantener la capacidad de seguimiento de nuevos diagnósticos.</w:t>
      </w:r>
    </w:p>
    <w:p w14:paraId="1FEA4958" w14:textId="77777777" w:rsidR="00A36BA5" w:rsidRPr="008270BA" w:rsidRDefault="008270BA">
      <w:pPr>
        <w:pStyle w:val="ListParagraph"/>
        <w:numPr>
          <w:ilvl w:val="0"/>
          <w:numId w:val="4"/>
        </w:numPr>
        <w:tabs>
          <w:tab w:val="left" w:pos="902"/>
        </w:tabs>
        <w:spacing w:before="8"/>
        <w:ind w:left="901" w:hanging="162"/>
        <w:rPr>
          <w:w w:val="90"/>
        </w:rPr>
      </w:pPr>
      <w:r w:rsidRPr="008270BA">
        <w:rPr>
          <w:i/>
          <w:w w:val="90"/>
        </w:rPr>
        <w:t>Actividad 4.1.3</w:t>
      </w:r>
      <w:r w:rsidRPr="008270BA">
        <w:rPr>
          <w:w w:val="90"/>
        </w:rPr>
        <w:t>: Mantener la capacidad de actividades de vigilancia molecular de VIH y revisión de grupos.</w:t>
      </w:r>
    </w:p>
    <w:p w14:paraId="7A0C7E8C" w14:textId="77777777" w:rsidR="00A36BA5" w:rsidRPr="008270BA" w:rsidRDefault="008270BA">
      <w:pPr>
        <w:pStyle w:val="ListParagraph"/>
        <w:numPr>
          <w:ilvl w:val="0"/>
          <w:numId w:val="4"/>
        </w:numPr>
        <w:tabs>
          <w:tab w:val="left" w:pos="903"/>
        </w:tabs>
        <w:spacing w:before="15" w:line="230" w:lineRule="auto"/>
        <w:ind w:right="1081" w:hanging="360"/>
        <w:rPr>
          <w:w w:val="90"/>
        </w:rPr>
      </w:pPr>
      <w:r w:rsidRPr="008270BA">
        <w:rPr>
          <w:i/>
          <w:w w:val="90"/>
        </w:rPr>
        <w:t>Actividad 4.1.4</w:t>
      </w:r>
      <w:r w:rsidRPr="008270BA">
        <w:rPr>
          <w:w w:val="90"/>
        </w:rPr>
        <w:t>: Implementar un plan de respuesta al brote rápidamente según sea necesario para responder a redes de transmisión de VIH de crecimiento rápido.</w:t>
      </w:r>
    </w:p>
    <w:p w14:paraId="4C5FA8EF" w14:textId="77777777" w:rsidR="00A36BA5" w:rsidRPr="008270BA" w:rsidRDefault="008270BA">
      <w:pPr>
        <w:pStyle w:val="ListParagraph"/>
        <w:numPr>
          <w:ilvl w:val="0"/>
          <w:numId w:val="4"/>
        </w:numPr>
        <w:tabs>
          <w:tab w:val="left" w:pos="903"/>
        </w:tabs>
        <w:spacing w:before="35" w:line="230" w:lineRule="auto"/>
        <w:ind w:right="1158" w:hanging="360"/>
        <w:rPr>
          <w:w w:val="90"/>
        </w:rPr>
      </w:pPr>
      <w:r w:rsidRPr="008270BA">
        <w:rPr>
          <w:i/>
          <w:w w:val="90"/>
        </w:rPr>
        <w:t>Actividad 4.1.5</w:t>
      </w:r>
      <w:r w:rsidRPr="008270BA">
        <w:rPr>
          <w:w w:val="90"/>
        </w:rPr>
        <w:t>: Mejorar los sistemas de gestión de datos para evitar duplicación, mejorar el vínculo de datos y dilucidar los factores de muerte.</w:t>
      </w:r>
    </w:p>
    <w:p w14:paraId="0CE0BE35" w14:textId="77777777" w:rsidR="00A36BA5" w:rsidRPr="008270BA" w:rsidRDefault="00A36BA5">
      <w:pPr>
        <w:pStyle w:val="BodyText"/>
        <w:spacing w:before="7"/>
        <w:rPr>
          <w:w w:val="90"/>
          <w:sz w:val="28"/>
        </w:rPr>
      </w:pPr>
    </w:p>
    <w:p w14:paraId="24EDA184" w14:textId="77777777" w:rsidR="00A36BA5" w:rsidRPr="008270BA" w:rsidRDefault="008270BA">
      <w:pPr>
        <w:pStyle w:val="Heading3"/>
        <w:spacing w:line="261" w:lineRule="auto"/>
        <w:ind w:right="1195"/>
        <w:jc w:val="both"/>
        <w:rPr>
          <w:w w:val="90"/>
        </w:rPr>
      </w:pPr>
      <w:r w:rsidRPr="008270BA">
        <w:rPr>
          <w:w w:val="90"/>
        </w:rPr>
        <w:t xml:space="preserve">Estrategia 4.2: Revisar las incidencias de contagio de VIH a través del Proyecto </w:t>
      </w:r>
      <w:proofErr w:type="spellStart"/>
      <w:r w:rsidRPr="008270BA">
        <w:rPr>
          <w:w w:val="90"/>
        </w:rPr>
        <w:t>DExIS</w:t>
      </w:r>
      <w:proofErr w:type="spellEnd"/>
      <w:r w:rsidRPr="008270BA">
        <w:rPr>
          <w:w w:val="90"/>
        </w:rPr>
        <w:t xml:space="preserve"> (Demostración de Vigilancia </w:t>
      </w:r>
      <w:proofErr w:type="spellStart"/>
      <w:r w:rsidRPr="008270BA">
        <w:rPr>
          <w:w w:val="90"/>
        </w:rPr>
        <w:t>Intervencional</w:t>
      </w:r>
      <w:proofErr w:type="spellEnd"/>
      <w:r w:rsidRPr="008270BA">
        <w:rPr>
          <w:w w:val="90"/>
        </w:rPr>
        <w:t xml:space="preserve"> Expandida) de Filadelfia.</w:t>
      </w:r>
    </w:p>
    <w:p w14:paraId="4B5A0983" w14:textId="77777777" w:rsidR="00A36BA5" w:rsidRPr="008270BA" w:rsidRDefault="008270BA">
      <w:pPr>
        <w:pStyle w:val="ListParagraph"/>
        <w:numPr>
          <w:ilvl w:val="0"/>
          <w:numId w:val="4"/>
        </w:numPr>
        <w:tabs>
          <w:tab w:val="left" w:pos="903"/>
        </w:tabs>
        <w:spacing w:line="237" w:lineRule="auto"/>
        <w:ind w:right="992" w:hanging="360"/>
        <w:jc w:val="both"/>
        <w:rPr>
          <w:w w:val="90"/>
        </w:rPr>
      </w:pPr>
      <w:r w:rsidRPr="008270BA">
        <w:rPr>
          <w:i/>
          <w:w w:val="90"/>
        </w:rPr>
        <w:t>Actividad 4.2.1</w:t>
      </w:r>
      <w:r w:rsidRPr="008270BA">
        <w:rPr>
          <w:w w:val="90"/>
        </w:rPr>
        <w:t>: Llevar a cabo revisiones sistemáticas de cohortes de nuevos diagnósticos centinela de VIH para identificar oportunidades de prevención de VIH perdidas y para profundizar la comprensión de la búsqueda de atención entre las personas en riesgo de infección.</w:t>
      </w:r>
    </w:p>
    <w:p w14:paraId="582BC825" w14:textId="77777777" w:rsidR="00A36BA5" w:rsidRPr="008270BA" w:rsidRDefault="008270BA">
      <w:pPr>
        <w:pStyle w:val="ListParagraph"/>
        <w:numPr>
          <w:ilvl w:val="0"/>
          <w:numId w:val="4"/>
        </w:numPr>
        <w:tabs>
          <w:tab w:val="left" w:pos="903"/>
        </w:tabs>
        <w:spacing w:before="34" w:line="230" w:lineRule="auto"/>
        <w:ind w:right="1223" w:hanging="360"/>
        <w:rPr>
          <w:w w:val="90"/>
        </w:rPr>
      </w:pPr>
      <w:r w:rsidRPr="008270BA">
        <w:rPr>
          <w:i/>
          <w:iCs/>
          <w:w w:val="90"/>
        </w:rPr>
        <w:t>Actividad 4.2.2:</w:t>
      </w:r>
      <w:r w:rsidRPr="008270BA">
        <w:rPr>
          <w:w w:val="90"/>
        </w:rPr>
        <w:t xml:space="preserve"> Desarrollar planes para sostener las actividades </w:t>
      </w:r>
      <w:proofErr w:type="spellStart"/>
      <w:r w:rsidRPr="008270BA">
        <w:rPr>
          <w:w w:val="90"/>
        </w:rPr>
        <w:t>DExIS</w:t>
      </w:r>
      <w:proofErr w:type="spellEnd"/>
      <w:r w:rsidRPr="008270BA">
        <w:rPr>
          <w:w w:val="90"/>
        </w:rPr>
        <w:t xml:space="preserve"> luego de que finaliza el proyecto de demostración.</w:t>
      </w:r>
    </w:p>
    <w:p w14:paraId="22AA2050" w14:textId="77777777" w:rsidR="00A36BA5" w:rsidRPr="008270BA" w:rsidRDefault="008270BA">
      <w:pPr>
        <w:pStyle w:val="ListParagraph"/>
        <w:numPr>
          <w:ilvl w:val="0"/>
          <w:numId w:val="4"/>
        </w:numPr>
        <w:tabs>
          <w:tab w:val="left" w:pos="949"/>
        </w:tabs>
        <w:spacing w:before="55" w:line="230" w:lineRule="auto"/>
        <w:ind w:left="1146" w:right="767" w:hanging="366"/>
        <w:rPr>
          <w:w w:val="90"/>
        </w:rPr>
      </w:pPr>
      <w:r w:rsidRPr="008270BA">
        <w:rPr>
          <w:i/>
          <w:w w:val="90"/>
        </w:rPr>
        <w:t>Actividad 4.2.3</w:t>
      </w:r>
      <w:r w:rsidRPr="008270BA">
        <w:rPr>
          <w:w w:val="90"/>
        </w:rPr>
        <w:t>: Establecer intervenciones para implementar cambios en todo el sistema en base a conclusiones de los equipos de revisión.</w:t>
      </w:r>
    </w:p>
    <w:p w14:paraId="73A673FA" w14:textId="77777777" w:rsidR="00A36BA5" w:rsidRPr="008270BA" w:rsidRDefault="00A36BA5">
      <w:pPr>
        <w:pStyle w:val="BodyText"/>
        <w:rPr>
          <w:w w:val="90"/>
          <w:sz w:val="25"/>
        </w:rPr>
      </w:pPr>
    </w:p>
    <w:p w14:paraId="53BC32A2" w14:textId="77777777" w:rsidR="00A36BA5" w:rsidRPr="008270BA" w:rsidRDefault="008270BA">
      <w:pPr>
        <w:spacing w:before="1" w:line="254" w:lineRule="auto"/>
        <w:ind w:left="380" w:right="555"/>
        <w:rPr>
          <w:w w:val="90"/>
        </w:rPr>
      </w:pPr>
      <w:r w:rsidRPr="008270BA">
        <w:rPr>
          <w:b/>
          <w:bCs/>
          <w:w w:val="90"/>
        </w:rPr>
        <w:t>Socios clave:</w:t>
      </w:r>
      <w:r w:rsidRPr="008270BA">
        <w:rPr>
          <w:w w:val="90"/>
        </w:rPr>
        <w:t xml:space="preserve"> AACO del PDPH, Equipo de Respuesta al Brote de VIH, División de Control de Enfermedades del PDPH, socios comunitarios, Equipo de Revisión de Casos de </w:t>
      </w:r>
      <w:proofErr w:type="spellStart"/>
      <w:r w:rsidRPr="008270BA">
        <w:rPr>
          <w:w w:val="90"/>
        </w:rPr>
        <w:t>DExIS</w:t>
      </w:r>
      <w:proofErr w:type="spellEnd"/>
      <w:r w:rsidRPr="008270BA">
        <w:rPr>
          <w:w w:val="90"/>
        </w:rPr>
        <w:t>, Equipo de Acción Comunitaria y equipos de implementación de políticas</w:t>
      </w:r>
      <w:r w:rsidRPr="008270BA">
        <w:rPr>
          <w:w w:val="90"/>
        </w:rPr>
        <w:br/>
      </w:r>
      <w:r w:rsidRPr="008270BA">
        <w:rPr>
          <w:b/>
          <w:bCs/>
          <w:w w:val="90"/>
        </w:rPr>
        <w:t>Potenciales recursos de financiación:</w:t>
      </w:r>
      <w:r w:rsidRPr="008270BA">
        <w:rPr>
          <w:b/>
          <w:w w:val="90"/>
        </w:rPr>
        <w:t xml:space="preserve"> </w:t>
      </w:r>
      <w:r w:rsidRPr="008270BA">
        <w:rPr>
          <w:w w:val="90"/>
        </w:rPr>
        <w:t xml:space="preserve">Acuerdo Cooperativo de Prevención de Vigilancia y Prevención de VIH del CDC (incluye la financiación de Componente B para </w:t>
      </w:r>
      <w:proofErr w:type="spellStart"/>
      <w:r w:rsidRPr="008270BA">
        <w:rPr>
          <w:w w:val="90"/>
        </w:rPr>
        <w:t>DExIS</w:t>
      </w:r>
      <w:proofErr w:type="spellEnd"/>
      <w:r w:rsidRPr="008270BA">
        <w:rPr>
          <w:w w:val="90"/>
        </w:rPr>
        <w:t>), Departamento de Salud de Pensilvania, EHE de HRSA, CDC</w:t>
      </w:r>
      <w:r w:rsidRPr="008270BA">
        <w:rPr>
          <w:w w:val="90"/>
        </w:rPr>
        <w:br/>
      </w:r>
      <w:r w:rsidRPr="008270BA">
        <w:rPr>
          <w:b/>
          <w:bCs/>
          <w:w w:val="90"/>
        </w:rPr>
        <w:t>Asignación de fondos estimada:</w:t>
      </w:r>
      <w:r w:rsidRPr="008270BA">
        <w:rPr>
          <w:b/>
          <w:w w:val="90"/>
        </w:rPr>
        <w:t xml:space="preserve"> </w:t>
      </w:r>
      <w:r w:rsidRPr="008270BA">
        <w:rPr>
          <w:w w:val="90"/>
        </w:rPr>
        <w:t>Fondos actuales del PDPH $2,269,023; se necesitan más fondos para implementar el plan: TBD</w:t>
      </w:r>
    </w:p>
    <w:p w14:paraId="75EF5195" w14:textId="77777777" w:rsidR="00A36BA5" w:rsidRPr="008270BA" w:rsidRDefault="008270BA">
      <w:pPr>
        <w:spacing w:before="11"/>
        <w:ind w:left="380"/>
        <w:rPr>
          <w:w w:val="90"/>
        </w:rPr>
      </w:pPr>
      <w:r w:rsidRPr="008270BA">
        <w:rPr>
          <w:b/>
          <w:w w:val="90"/>
        </w:rPr>
        <w:t xml:space="preserve">Fuente de datos de monitoreo: </w:t>
      </w:r>
      <w:r w:rsidRPr="008270BA">
        <w:rPr>
          <w:w w:val="90"/>
        </w:rPr>
        <w:t xml:space="preserve">Datos de salud pública de VIH, datos del programa de Prevención del VIH, </w:t>
      </w:r>
      <w:proofErr w:type="spellStart"/>
      <w:r w:rsidRPr="008270BA">
        <w:rPr>
          <w:w w:val="90"/>
        </w:rPr>
        <w:t>CAREWare</w:t>
      </w:r>
      <w:proofErr w:type="spellEnd"/>
      <w:r w:rsidRPr="008270BA">
        <w:rPr>
          <w:w w:val="90"/>
        </w:rPr>
        <w:t>.</w:t>
      </w:r>
    </w:p>
    <w:p w14:paraId="7919AE12" w14:textId="711CDDBB" w:rsidR="00A36BA5" w:rsidRPr="008270BA" w:rsidRDefault="009D4B53">
      <w:pPr>
        <w:spacing w:before="7"/>
        <w:ind w:left="380"/>
        <w:rPr>
          <w:w w:val="90"/>
        </w:rPr>
      </w:pPr>
      <w:r>
        <w:rPr>
          <w:b/>
          <w:noProof/>
        </w:rPr>
        <mc:AlternateContent>
          <mc:Choice Requires="wps">
            <w:drawing>
              <wp:anchor distT="45720" distB="45720" distL="114300" distR="114300" simplePos="0" relativeHeight="487623680" behindDoc="0" locked="0" layoutInCell="1" allowOverlap="1" wp14:anchorId="042F2918" wp14:editId="49CA4DF0">
                <wp:simplePos x="0" y="0"/>
                <wp:positionH relativeFrom="column">
                  <wp:posOffset>6049010</wp:posOffset>
                </wp:positionH>
                <wp:positionV relativeFrom="paragraph">
                  <wp:posOffset>1278255</wp:posOffset>
                </wp:positionV>
                <wp:extent cx="405765" cy="25209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F8339" w14:textId="356B1B37" w:rsidR="00A3515D" w:rsidRPr="002F0576" w:rsidRDefault="00A3515D" w:rsidP="00A3515D">
                            <w:pPr>
                              <w:rPr>
                                <w:lang w:val="en-US"/>
                              </w:rPr>
                            </w:pPr>
                            <w:r>
                              <w:t>34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2F2918" id="_x0000_s1054" type="#_x0000_t202" style="position:absolute;left:0;text-align:left;margin-left:476.3pt;margin-top:100.65pt;width:31.95pt;height:19.85pt;z-index:487623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" stroked="f">
                <v:textbox style="mso-fit-shape-to-text:t">
                  <w:txbxContent>
                    <w:p w14:paraId="785F8339" w14:textId="356B1B37" w:rsidR="00A3515D" w:rsidRPr="002F0576" w:rsidRDefault="00A3515D" w:rsidP="00A3515D">
                      <w:pPr>
                        <w:rPr>
                          <w:lang w:val="en-US"/>
                        </w:rPr>
                      </w:pPr>
                      <w:r>
                        <w:t>34</w:t>
                      </w:r>
                    </w:p>
                  </w:txbxContent>
                </v:textbox>
                <w10:wrap type="square"/>
              </v:shape>
            </w:pict>
          </mc:Fallback>
        </mc:AlternateContent>
      </w:r>
      <w:r w:rsidR="008270BA" w:rsidRPr="008270BA">
        <w:rPr>
          <w:b/>
          <w:w w:val="90"/>
        </w:rPr>
        <w:t xml:space="preserve">Resultados: </w:t>
      </w:r>
      <w:r w:rsidR="008270BA" w:rsidRPr="008270BA">
        <w:rPr>
          <w:w w:val="90"/>
        </w:rPr>
        <w:t>El PDPH finalizará protocolos de detección de grupos y procedimientos de respuesta.</w:t>
      </w:r>
    </w:p>
    <w:p w14:paraId="6937ECEF" w14:textId="77777777" w:rsidR="00A36BA5" w:rsidRPr="008270BA" w:rsidRDefault="00A36BA5">
      <w:pPr>
        <w:rPr>
          <w:w w:val="90"/>
        </w:rPr>
        <w:sectPr w:rsidR="00A36BA5" w:rsidRPr="008270BA">
          <w:pgSz w:w="12240" w:h="15840"/>
          <w:pgMar w:top="1240" w:right="980" w:bottom="1280" w:left="1060" w:header="731" w:footer="997" w:gutter="0"/>
          <w:cols w:space="720"/>
        </w:sectPr>
      </w:pPr>
    </w:p>
    <w:p w14:paraId="21898B88" w14:textId="77777777" w:rsidR="00A36BA5" w:rsidRPr="008270BA" w:rsidRDefault="008270BA">
      <w:pPr>
        <w:pStyle w:val="Heading2"/>
        <w:ind w:right="644"/>
        <w:rPr>
          <w:w w:val="90"/>
        </w:rPr>
      </w:pPr>
      <w:bookmarkStart w:id="19" w:name="_TOC_250005"/>
      <w:r w:rsidRPr="008270BA">
        <w:rPr>
          <w:w w:val="90"/>
        </w:rPr>
        <w:lastRenderedPageBreak/>
        <w:t>Pilar 5: Desarrollo de</w:t>
      </w:r>
      <w:bookmarkEnd w:id="19"/>
      <w:r w:rsidRPr="008270BA">
        <w:rPr>
          <w:w w:val="90"/>
        </w:rPr>
        <w:t xml:space="preserve"> trabajadores</w:t>
      </w:r>
    </w:p>
    <w:p w14:paraId="34BA99CD" w14:textId="77777777" w:rsidR="00A36BA5" w:rsidRPr="008270BA" w:rsidRDefault="00A36BA5">
      <w:pPr>
        <w:pStyle w:val="BodyText"/>
        <w:spacing w:before="4"/>
        <w:rPr>
          <w:w w:val="90"/>
          <w:sz w:val="27"/>
        </w:rPr>
      </w:pPr>
    </w:p>
    <w:p w14:paraId="75AB2C8E" w14:textId="77777777" w:rsidR="00A36BA5" w:rsidRPr="008270BA" w:rsidRDefault="008270BA">
      <w:pPr>
        <w:pStyle w:val="Heading4"/>
        <w:spacing w:line="261" w:lineRule="auto"/>
        <w:ind w:left="295" w:right="294"/>
        <w:rPr>
          <w:w w:val="90"/>
        </w:rPr>
      </w:pPr>
      <w:r w:rsidRPr="008270BA">
        <w:rPr>
          <w:w w:val="90"/>
        </w:rPr>
        <w:t>Meta 5: Asegurar que la fuerza de trabajadores está adecuadamente capacitada, y tiene apoyo para lograr las metas del Plan de Filadelfia para terminar con la epidemia de VIH.</w:t>
      </w:r>
    </w:p>
    <w:p w14:paraId="42D930AF" w14:textId="77777777" w:rsidR="00A36BA5" w:rsidRPr="008270BA" w:rsidRDefault="00A36BA5">
      <w:pPr>
        <w:pStyle w:val="BodyText"/>
        <w:spacing w:before="2"/>
        <w:rPr>
          <w:rFonts w:ascii="Arial-BoldItalicMT"/>
          <w:b/>
          <w:i/>
          <w:w w:val="90"/>
        </w:rPr>
      </w:pPr>
    </w:p>
    <w:p w14:paraId="212D6F09" w14:textId="77777777" w:rsidR="00A36BA5" w:rsidRPr="008270BA" w:rsidRDefault="008270BA">
      <w:pPr>
        <w:pStyle w:val="Heading3"/>
        <w:spacing w:line="261" w:lineRule="auto"/>
        <w:ind w:left="120" w:right="128"/>
        <w:rPr>
          <w:w w:val="90"/>
        </w:rPr>
      </w:pPr>
      <w:r w:rsidRPr="008270BA">
        <w:rPr>
          <w:w w:val="90"/>
        </w:rPr>
        <w:t>Estrategia 5.1: Evaluar el tamaño, experiencia y competencia de la fuerza de trabajo necesarios para implementar el plan EHE.</w:t>
      </w:r>
    </w:p>
    <w:p w14:paraId="67096E5B" w14:textId="77777777" w:rsidR="00A36BA5" w:rsidRPr="008270BA" w:rsidRDefault="008270BA">
      <w:pPr>
        <w:pStyle w:val="ListParagraph"/>
        <w:numPr>
          <w:ilvl w:val="0"/>
          <w:numId w:val="3"/>
        </w:numPr>
        <w:tabs>
          <w:tab w:val="left" w:pos="704"/>
        </w:tabs>
        <w:spacing w:line="295" w:lineRule="exact"/>
        <w:ind w:left="703"/>
        <w:rPr>
          <w:rFonts w:ascii="Symbol" w:hAnsi="Symbol"/>
          <w:w w:val="90"/>
          <w:sz w:val="24"/>
        </w:rPr>
      </w:pPr>
      <w:r w:rsidRPr="008270BA">
        <w:rPr>
          <w:i/>
          <w:w w:val="90"/>
          <w:sz w:val="24"/>
        </w:rPr>
        <w:t>Actividad 5.1.1</w:t>
      </w:r>
      <w:r w:rsidRPr="008270BA">
        <w:rPr>
          <w:w w:val="90"/>
          <w:sz w:val="24"/>
        </w:rPr>
        <w:t>: Evaluar la necesidad de personal adicional en todos los niveles de respuesta EHE.</w:t>
      </w:r>
    </w:p>
    <w:p w14:paraId="6FDB7AD6" w14:textId="77777777" w:rsidR="00A36BA5" w:rsidRPr="008270BA" w:rsidRDefault="008270BA">
      <w:pPr>
        <w:pStyle w:val="ListParagraph"/>
        <w:numPr>
          <w:ilvl w:val="0"/>
          <w:numId w:val="3"/>
        </w:numPr>
        <w:tabs>
          <w:tab w:val="left" w:pos="704"/>
        </w:tabs>
        <w:spacing w:before="3"/>
        <w:ind w:left="703"/>
        <w:rPr>
          <w:rFonts w:ascii="Symbol" w:hAnsi="Symbol"/>
          <w:w w:val="90"/>
          <w:sz w:val="24"/>
        </w:rPr>
      </w:pPr>
      <w:r w:rsidRPr="008270BA">
        <w:rPr>
          <w:i/>
          <w:w w:val="90"/>
          <w:sz w:val="24"/>
        </w:rPr>
        <w:t>Actividad 5.1.2</w:t>
      </w:r>
      <w:r w:rsidRPr="008270BA">
        <w:rPr>
          <w:w w:val="90"/>
          <w:sz w:val="24"/>
        </w:rPr>
        <w:t>: Evaluar el alcance de las necesidades de capacitación y desarrollo del personal existente y del nuevo personal.</w:t>
      </w:r>
    </w:p>
    <w:p w14:paraId="52046584" w14:textId="77777777" w:rsidR="00A36BA5" w:rsidRPr="008270BA" w:rsidRDefault="00A36BA5">
      <w:pPr>
        <w:pStyle w:val="BodyText"/>
        <w:spacing w:before="4"/>
        <w:rPr>
          <w:w w:val="90"/>
          <w:sz w:val="26"/>
        </w:rPr>
      </w:pPr>
    </w:p>
    <w:p w14:paraId="0DB769E0" w14:textId="77777777" w:rsidR="00A36BA5" w:rsidRPr="008270BA" w:rsidRDefault="008270BA">
      <w:pPr>
        <w:spacing w:line="242" w:lineRule="auto"/>
        <w:ind w:left="120"/>
        <w:rPr>
          <w:b/>
          <w:w w:val="90"/>
        </w:rPr>
      </w:pPr>
      <w:r w:rsidRPr="008270BA">
        <w:rPr>
          <w:b/>
          <w:w w:val="90"/>
        </w:rPr>
        <w:t>Estrategia 5.2:</w:t>
      </w:r>
      <w:r w:rsidRPr="008270BA">
        <w:rPr>
          <w:b/>
          <w:w w:val="90"/>
          <w:sz w:val="24"/>
        </w:rPr>
        <w:t xml:space="preserve"> </w:t>
      </w:r>
      <w:r w:rsidRPr="008270BA">
        <w:rPr>
          <w:b/>
          <w:w w:val="90"/>
        </w:rPr>
        <w:t>Desarrollar el alcance y expansión de la fuerza de trabajo para centrarse en las necesidades de poblaciones enfocadas.</w:t>
      </w:r>
    </w:p>
    <w:p w14:paraId="50655F96" w14:textId="77777777" w:rsidR="00A36BA5" w:rsidRPr="008270BA" w:rsidRDefault="008270BA">
      <w:pPr>
        <w:pStyle w:val="ListParagraph"/>
        <w:numPr>
          <w:ilvl w:val="0"/>
          <w:numId w:val="3"/>
        </w:numPr>
        <w:tabs>
          <w:tab w:val="left" w:pos="643"/>
        </w:tabs>
        <w:spacing w:before="32" w:line="230" w:lineRule="auto"/>
        <w:ind w:right="1036" w:hanging="360"/>
        <w:rPr>
          <w:rFonts w:ascii="Symbol" w:hAnsi="Symbol"/>
          <w:w w:val="90"/>
        </w:rPr>
      </w:pPr>
      <w:r w:rsidRPr="008270BA">
        <w:rPr>
          <w:i/>
          <w:w w:val="90"/>
        </w:rPr>
        <w:t>Actividad 5.2.1</w:t>
      </w:r>
      <w:r w:rsidRPr="008270BA">
        <w:rPr>
          <w:w w:val="90"/>
        </w:rPr>
        <w:t>: Desarrollar un enfoque radical de servicio al cliente a nivel proveedor a través de capacitaciones organizativas personalizadas en base a los datos de mejora de calidad.</w:t>
      </w:r>
    </w:p>
    <w:p w14:paraId="5C10D395" w14:textId="77777777" w:rsidR="00A36BA5" w:rsidRPr="008270BA" w:rsidRDefault="008270BA">
      <w:pPr>
        <w:pStyle w:val="ListParagraph"/>
        <w:numPr>
          <w:ilvl w:val="0"/>
          <w:numId w:val="3"/>
        </w:numPr>
        <w:tabs>
          <w:tab w:val="left" w:pos="643"/>
        </w:tabs>
        <w:spacing w:before="56" w:line="230" w:lineRule="auto"/>
        <w:ind w:right="402" w:hanging="360"/>
        <w:rPr>
          <w:rFonts w:ascii="Symbol" w:hAnsi="Symbol"/>
          <w:w w:val="90"/>
        </w:rPr>
      </w:pPr>
      <w:r w:rsidRPr="008270BA">
        <w:rPr>
          <w:i/>
          <w:w w:val="90"/>
        </w:rPr>
        <w:t>Actividad 5.2.2</w:t>
      </w:r>
      <w:r w:rsidRPr="008270BA">
        <w:rPr>
          <w:w w:val="90"/>
        </w:rPr>
        <w:t>: Desarrollar programas de igualdad en la salud en cada organización para aumentar la accesibilidad de servicios y reducir el estigma iniciado por los proveedores.</w:t>
      </w:r>
    </w:p>
    <w:p w14:paraId="0C91F005" w14:textId="77777777" w:rsidR="00A36BA5" w:rsidRPr="008270BA" w:rsidRDefault="008270BA">
      <w:pPr>
        <w:pStyle w:val="ListParagraph"/>
        <w:numPr>
          <w:ilvl w:val="0"/>
          <w:numId w:val="3"/>
        </w:numPr>
        <w:tabs>
          <w:tab w:val="left" w:pos="643"/>
        </w:tabs>
        <w:spacing w:before="35" w:line="230" w:lineRule="auto"/>
        <w:ind w:right="800" w:hanging="360"/>
        <w:rPr>
          <w:rFonts w:ascii="Symbol" w:hAnsi="Symbol"/>
          <w:w w:val="90"/>
        </w:rPr>
      </w:pPr>
      <w:r w:rsidRPr="008270BA">
        <w:rPr>
          <w:i/>
          <w:w w:val="90"/>
        </w:rPr>
        <w:t>Actividad 5.2.3</w:t>
      </w:r>
      <w:r w:rsidRPr="008270BA">
        <w:rPr>
          <w:w w:val="90"/>
        </w:rPr>
        <w:t>: Apoyar la expansión en el rol de realizadores de pruebas de VIH para incluir responsabilidades por el vínculo con la atención médica y PrEP a través de medidas de capacitación y desempeño.</w:t>
      </w:r>
    </w:p>
    <w:p w14:paraId="55B1B114" w14:textId="77777777" w:rsidR="00A36BA5" w:rsidRPr="008270BA" w:rsidRDefault="008270BA">
      <w:pPr>
        <w:pStyle w:val="ListParagraph"/>
        <w:numPr>
          <w:ilvl w:val="0"/>
          <w:numId w:val="3"/>
        </w:numPr>
        <w:tabs>
          <w:tab w:val="left" w:pos="643"/>
        </w:tabs>
        <w:spacing w:before="55" w:line="230" w:lineRule="auto"/>
        <w:ind w:right="389" w:hanging="360"/>
        <w:rPr>
          <w:rFonts w:ascii="Symbol" w:hAnsi="Symbol"/>
          <w:w w:val="90"/>
        </w:rPr>
      </w:pPr>
      <w:r w:rsidRPr="008270BA">
        <w:rPr>
          <w:i/>
          <w:w w:val="90"/>
        </w:rPr>
        <w:t>Actividad 5.2.4</w:t>
      </w:r>
      <w:r w:rsidRPr="008270BA">
        <w:rPr>
          <w:w w:val="90"/>
        </w:rPr>
        <w:t>: Brindar guía a socios con financiación para aumentar la compensación de la fuerza laborar de pruebas de VIH basada en la comunidad para reflejar responsabilidades.</w:t>
      </w:r>
    </w:p>
    <w:p w14:paraId="1CE32E20" w14:textId="77777777" w:rsidR="00A36BA5" w:rsidRPr="008270BA" w:rsidRDefault="008270BA">
      <w:pPr>
        <w:pStyle w:val="ListParagraph"/>
        <w:numPr>
          <w:ilvl w:val="0"/>
          <w:numId w:val="3"/>
        </w:numPr>
        <w:tabs>
          <w:tab w:val="left" w:pos="643"/>
        </w:tabs>
        <w:spacing w:before="35" w:line="230" w:lineRule="auto"/>
        <w:ind w:right="152" w:hanging="360"/>
        <w:rPr>
          <w:rFonts w:ascii="Symbol" w:hAnsi="Symbol"/>
          <w:w w:val="90"/>
        </w:rPr>
      </w:pPr>
      <w:r w:rsidRPr="008270BA">
        <w:rPr>
          <w:i/>
          <w:w w:val="90"/>
        </w:rPr>
        <w:t xml:space="preserve">Actividad 5.2.5: </w:t>
      </w:r>
      <w:r w:rsidRPr="008270BA">
        <w:rPr>
          <w:w w:val="90"/>
        </w:rPr>
        <w:t>Contratar directamente en la comunidad y hacer que la experiencia sea comparable con la educación formar en lo que respecta a las responsabilidades del trabajo.</w:t>
      </w:r>
    </w:p>
    <w:p w14:paraId="526D3DA4" w14:textId="77777777" w:rsidR="00A36BA5" w:rsidRPr="008270BA" w:rsidRDefault="008270BA">
      <w:pPr>
        <w:pStyle w:val="ListParagraph"/>
        <w:numPr>
          <w:ilvl w:val="0"/>
          <w:numId w:val="3"/>
        </w:numPr>
        <w:tabs>
          <w:tab w:val="left" w:pos="643"/>
        </w:tabs>
        <w:spacing w:before="28" w:line="264" w:lineRule="auto"/>
        <w:ind w:right="701" w:hanging="360"/>
        <w:rPr>
          <w:rFonts w:ascii="Symbol" w:hAnsi="Symbol"/>
          <w:w w:val="90"/>
        </w:rPr>
      </w:pPr>
      <w:r w:rsidRPr="008270BA">
        <w:rPr>
          <w:i/>
          <w:w w:val="90"/>
        </w:rPr>
        <w:t xml:space="preserve">Actividad 5.2.6: </w:t>
      </w:r>
      <w:r w:rsidRPr="008270BA">
        <w:rPr>
          <w:w w:val="90"/>
        </w:rPr>
        <w:t>Desarrollar y promover capacitaciones para personal de primera línea, supervisores y educadores pares para Centro de Bienestar Sexual.</w:t>
      </w:r>
    </w:p>
    <w:p w14:paraId="43E2A960" w14:textId="77777777" w:rsidR="00A36BA5" w:rsidRPr="008270BA" w:rsidRDefault="008270BA">
      <w:pPr>
        <w:pStyle w:val="ListParagraph"/>
        <w:numPr>
          <w:ilvl w:val="0"/>
          <w:numId w:val="3"/>
        </w:numPr>
        <w:tabs>
          <w:tab w:val="left" w:pos="643"/>
        </w:tabs>
        <w:spacing w:before="24" w:line="247" w:lineRule="auto"/>
        <w:ind w:right="375" w:hanging="360"/>
        <w:rPr>
          <w:rFonts w:ascii="Symbol" w:hAnsi="Symbol"/>
          <w:w w:val="90"/>
        </w:rPr>
      </w:pPr>
      <w:r w:rsidRPr="008270BA">
        <w:rPr>
          <w:i/>
          <w:w w:val="90"/>
        </w:rPr>
        <w:t xml:space="preserve">Actividad 5.2.7: </w:t>
      </w:r>
      <w:r w:rsidRPr="008270BA">
        <w:rPr>
          <w:w w:val="90"/>
        </w:rPr>
        <w:t>Aumentar la disponibilidad para PrEP y Servicios de Navegación de VIH para personal de primera línea y supervisores.</w:t>
      </w:r>
    </w:p>
    <w:p w14:paraId="698897D2" w14:textId="77777777" w:rsidR="00A36BA5" w:rsidRPr="008270BA" w:rsidRDefault="00A36BA5">
      <w:pPr>
        <w:pStyle w:val="BodyText"/>
        <w:spacing w:before="7"/>
        <w:rPr>
          <w:w w:val="90"/>
          <w:sz w:val="29"/>
        </w:rPr>
      </w:pPr>
    </w:p>
    <w:p w14:paraId="38354C39" w14:textId="77777777" w:rsidR="00A36BA5" w:rsidRPr="008270BA" w:rsidRDefault="008270BA">
      <w:pPr>
        <w:pStyle w:val="Heading3"/>
        <w:spacing w:before="1"/>
        <w:ind w:left="120"/>
        <w:rPr>
          <w:w w:val="90"/>
        </w:rPr>
      </w:pPr>
      <w:r w:rsidRPr="008270BA">
        <w:rPr>
          <w:w w:val="90"/>
        </w:rPr>
        <w:t>Estrategia 5.3: Utilizar los datos de salud pública de VIH para desarrollar la capacidad de la fuerza de atención de VIH.</w:t>
      </w:r>
    </w:p>
    <w:p w14:paraId="6FBA06FD" w14:textId="77777777" w:rsidR="00A36BA5" w:rsidRPr="008270BA" w:rsidRDefault="008270BA">
      <w:pPr>
        <w:pStyle w:val="ListParagraph"/>
        <w:numPr>
          <w:ilvl w:val="0"/>
          <w:numId w:val="3"/>
        </w:numPr>
        <w:tabs>
          <w:tab w:val="left" w:pos="643"/>
        </w:tabs>
        <w:spacing w:before="30" w:line="230" w:lineRule="auto"/>
        <w:ind w:right="232" w:hanging="360"/>
        <w:rPr>
          <w:rFonts w:ascii="Symbol" w:hAnsi="Symbol"/>
          <w:w w:val="90"/>
        </w:rPr>
      </w:pPr>
      <w:r w:rsidRPr="008270BA">
        <w:rPr>
          <w:i/>
          <w:w w:val="90"/>
        </w:rPr>
        <w:t>Actividad 5.3.1</w:t>
      </w:r>
      <w:r w:rsidRPr="008270BA">
        <w:rPr>
          <w:w w:val="90"/>
        </w:rPr>
        <w:t>: Brindar asistencia técnica y personal de apoyo a consultorios clínicos para evaluar las barreras y desarrollar soluciones para aumentar las pruebas de VIH.</w:t>
      </w:r>
    </w:p>
    <w:p w14:paraId="4EAB0169" w14:textId="77777777" w:rsidR="00A36BA5" w:rsidRPr="008270BA" w:rsidRDefault="008270BA">
      <w:pPr>
        <w:pStyle w:val="ListParagraph"/>
        <w:numPr>
          <w:ilvl w:val="0"/>
          <w:numId w:val="3"/>
        </w:numPr>
        <w:tabs>
          <w:tab w:val="left" w:pos="643"/>
        </w:tabs>
        <w:spacing w:before="27"/>
        <w:ind w:left="642" w:hanging="163"/>
        <w:rPr>
          <w:rFonts w:ascii="Symbol" w:hAnsi="Symbol"/>
          <w:w w:val="90"/>
        </w:rPr>
      </w:pPr>
      <w:r w:rsidRPr="008270BA">
        <w:rPr>
          <w:i/>
          <w:w w:val="90"/>
        </w:rPr>
        <w:t>Actividad 5.3.2</w:t>
      </w:r>
      <w:r w:rsidRPr="008270BA">
        <w:rPr>
          <w:w w:val="90"/>
        </w:rPr>
        <w:t>: Asegurar que la fuerza de trabajo de VIH está capacitada en intervenciones nuevas y ampliadas.</w:t>
      </w:r>
    </w:p>
    <w:p w14:paraId="1161E965" w14:textId="77777777" w:rsidR="00A36BA5" w:rsidRPr="008270BA" w:rsidRDefault="008270BA">
      <w:pPr>
        <w:pStyle w:val="ListParagraph"/>
        <w:numPr>
          <w:ilvl w:val="0"/>
          <w:numId w:val="3"/>
        </w:numPr>
        <w:tabs>
          <w:tab w:val="left" w:pos="643"/>
        </w:tabs>
        <w:spacing w:before="16" w:line="230" w:lineRule="auto"/>
        <w:ind w:right="267" w:hanging="360"/>
        <w:rPr>
          <w:rFonts w:ascii="Symbol" w:hAnsi="Symbol"/>
          <w:w w:val="90"/>
        </w:rPr>
      </w:pPr>
      <w:r w:rsidRPr="008270BA">
        <w:rPr>
          <w:i/>
          <w:w w:val="90"/>
        </w:rPr>
        <w:t>Actividad 5.3.3</w:t>
      </w:r>
      <w:r w:rsidRPr="008270BA">
        <w:rPr>
          <w:w w:val="90"/>
        </w:rPr>
        <w:t>: Continuar brindando asistencia técnica para la implementación de PrEP en entornos en toda la ciudad.</w:t>
      </w:r>
    </w:p>
    <w:p w14:paraId="74438FC5" w14:textId="77777777" w:rsidR="00A36BA5" w:rsidRPr="008270BA" w:rsidRDefault="008270BA">
      <w:pPr>
        <w:pStyle w:val="ListParagraph"/>
        <w:numPr>
          <w:ilvl w:val="0"/>
          <w:numId w:val="3"/>
        </w:numPr>
        <w:tabs>
          <w:tab w:val="left" w:pos="689"/>
        </w:tabs>
        <w:spacing w:before="55" w:line="230" w:lineRule="auto"/>
        <w:ind w:left="886" w:right="1316" w:hanging="366"/>
        <w:rPr>
          <w:rFonts w:ascii="Symbol" w:hAnsi="Symbol"/>
          <w:w w:val="90"/>
        </w:rPr>
      </w:pPr>
      <w:r w:rsidRPr="008270BA">
        <w:rPr>
          <w:i/>
          <w:w w:val="90"/>
        </w:rPr>
        <w:t>Actividad 5.3.4</w:t>
      </w:r>
      <w:r w:rsidRPr="008270BA">
        <w:rPr>
          <w:w w:val="90"/>
        </w:rPr>
        <w:t>: Expandir la movilización comunitaria para usar la comunidad como socios de la fuerza de trabajo para implementar el plan EHE.</w:t>
      </w:r>
    </w:p>
    <w:p w14:paraId="5EEF6EBA" w14:textId="77777777" w:rsidR="00A36BA5" w:rsidRPr="008270BA" w:rsidRDefault="008270BA">
      <w:pPr>
        <w:pStyle w:val="ListParagraph"/>
        <w:numPr>
          <w:ilvl w:val="0"/>
          <w:numId w:val="3"/>
        </w:numPr>
        <w:tabs>
          <w:tab w:val="left" w:pos="689"/>
        </w:tabs>
        <w:spacing w:before="35" w:line="230" w:lineRule="auto"/>
        <w:ind w:left="886" w:right="316" w:hanging="366"/>
        <w:rPr>
          <w:rFonts w:ascii="Symbol" w:hAnsi="Symbol"/>
          <w:w w:val="90"/>
        </w:rPr>
      </w:pPr>
      <w:r w:rsidRPr="008270BA">
        <w:rPr>
          <w:i/>
          <w:w w:val="90"/>
        </w:rPr>
        <w:t>Actividad 5.3.5</w:t>
      </w:r>
      <w:r w:rsidRPr="008270BA">
        <w:rPr>
          <w:w w:val="90"/>
        </w:rPr>
        <w:t>: Desarrollar recomendaciones para aumentar rutas hacia el liderazgo entre los trabajadores de primera línea y personas conectadas con poblaciones afectadas.</w:t>
      </w:r>
    </w:p>
    <w:p w14:paraId="2277C0A5" w14:textId="77777777" w:rsidR="00A36BA5" w:rsidRPr="008270BA" w:rsidRDefault="008270BA">
      <w:pPr>
        <w:pStyle w:val="ListParagraph"/>
        <w:numPr>
          <w:ilvl w:val="0"/>
          <w:numId w:val="3"/>
        </w:numPr>
        <w:tabs>
          <w:tab w:val="left" w:pos="689"/>
        </w:tabs>
        <w:spacing w:before="55" w:line="230" w:lineRule="auto"/>
        <w:ind w:left="886" w:right="290" w:hanging="366"/>
        <w:rPr>
          <w:rFonts w:ascii="Symbol" w:hAnsi="Symbol"/>
          <w:w w:val="90"/>
        </w:rPr>
      </w:pPr>
      <w:r w:rsidRPr="008270BA">
        <w:rPr>
          <w:i/>
          <w:w w:val="90"/>
        </w:rPr>
        <w:t>Actividad 5.3.6</w:t>
      </w:r>
      <w:r w:rsidRPr="008270BA">
        <w:rPr>
          <w:w w:val="90"/>
        </w:rPr>
        <w:t>: Expandir el conocimiento relacionado con el VIH entre los investigadores de hepatitis y personal de ETS para vincular a las personas con tratamiento de VIH y atención PrEP.</w:t>
      </w:r>
    </w:p>
    <w:p w14:paraId="67264312" w14:textId="77777777" w:rsidR="00A36BA5" w:rsidRPr="008270BA" w:rsidRDefault="008270BA">
      <w:pPr>
        <w:pStyle w:val="ListParagraph"/>
        <w:numPr>
          <w:ilvl w:val="0"/>
          <w:numId w:val="3"/>
        </w:numPr>
        <w:tabs>
          <w:tab w:val="left" w:pos="689"/>
        </w:tabs>
        <w:spacing w:before="28" w:line="247" w:lineRule="auto"/>
        <w:ind w:left="886" w:right="777" w:hanging="366"/>
        <w:jc w:val="both"/>
        <w:rPr>
          <w:rFonts w:ascii="Symbol" w:hAnsi="Symbol"/>
          <w:w w:val="90"/>
        </w:rPr>
      </w:pPr>
      <w:r w:rsidRPr="008270BA">
        <w:rPr>
          <w:i/>
          <w:w w:val="90"/>
        </w:rPr>
        <w:t>Actividad 5.3.7</w:t>
      </w:r>
      <w:r w:rsidRPr="008270BA">
        <w:rPr>
          <w:w w:val="90"/>
        </w:rPr>
        <w:t>: Brindar asistencia técnica y capacitación para personal con roles directos con los clientes para mejorar la sensibilidad cultural relacionada con cómo se recibe la información de atención de salud y cómo se ejercen los derechos y protecciones del paciente.</w:t>
      </w:r>
    </w:p>
    <w:p w14:paraId="41E7EE2B" w14:textId="77777777" w:rsidR="00A36BA5" w:rsidRPr="008270BA" w:rsidRDefault="008270BA">
      <w:pPr>
        <w:pStyle w:val="ListParagraph"/>
        <w:numPr>
          <w:ilvl w:val="0"/>
          <w:numId w:val="3"/>
        </w:numPr>
        <w:tabs>
          <w:tab w:val="left" w:pos="689"/>
        </w:tabs>
        <w:spacing w:before="19"/>
        <w:ind w:left="688" w:hanging="169"/>
        <w:jc w:val="both"/>
        <w:rPr>
          <w:rFonts w:ascii="Symbol" w:hAnsi="Symbol"/>
          <w:w w:val="90"/>
        </w:rPr>
      </w:pPr>
      <w:r w:rsidRPr="008270BA">
        <w:rPr>
          <w:i/>
          <w:w w:val="90"/>
        </w:rPr>
        <w:t>Actividad 5.3.8</w:t>
      </w:r>
      <w:r w:rsidRPr="008270BA">
        <w:rPr>
          <w:w w:val="90"/>
        </w:rPr>
        <w:t>: Asociarse con el Distrito Escolar de Filadelfia para integrar las iniciativas actuales.</w:t>
      </w:r>
    </w:p>
    <w:p w14:paraId="79A8BF49" w14:textId="60F20EB7" w:rsidR="00A36BA5" w:rsidRPr="008270BA" w:rsidRDefault="009D4B53">
      <w:pPr>
        <w:jc w:val="both"/>
        <w:rPr>
          <w:rFonts w:ascii="Symbol" w:hAnsi="Symbol"/>
          <w:w w:val="90"/>
        </w:rPr>
        <w:sectPr w:rsidR="00A36BA5" w:rsidRPr="008270BA">
          <w:pgSz w:w="12240" w:h="15840"/>
          <w:pgMar w:top="1240" w:right="980" w:bottom="1280" w:left="1060" w:header="731" w:footer="997" w:gutter="0"/>
          <w:cols w:space="720"/>
        </w:sectPr>
      </w:pPr>
      <w:r>
        <w:rPr>
          <w:rFonts w:ascii="Symbol" w:hAnsi="Symbol"/>
          <w:noProof/>
        </w:rPr>
        <w:lastRenderedPageBreak/>
        <mc:AlternateContent>
          <mc:Choice Requires="wps">
            <w:drawing>
              <wp:anchor distT="45720" distB="45720" distL="114300" distR="114300" simplePos="0" relativeHeight="487624704" behindDoc="0" locked="0" layoutInCell="1" allowOverlap="1" wp14:anchorId="042F2918" wp14:editId="65469C96">
                <wp:simplePos x="0" y="0"/>
                <wp:positionH relativeFrom="column">
                  <wp:posOffset>6072505</wp:posOffset>
                </wp:positionH>
                <wp:positionV relativeFrom="paragraph">
                  <wp:posOffset>24130</wp:posOffset>
                </wp:positionV>
                <wp:extent cx="405765" cy="25209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AC36B" w14:textId="3D550BCE" w:rsidR="00A3515D" w:rsidRPr="002F0576" w:rsidRDefault="00A3515D" w:rsidP="00A3515D">
                            <w:pPr>
                              <w:rPr>
                                <w:lang w:val="en-US"/>
                              </w:rPr>
                            </w:pPr>
                            <w:r>
                              <w:t>35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2F2918" id="_x0000_s1055" type="#_x0000_t202" style="position:absolute;left:0;text-align:left;margin-left:478.15pt;margin-top:1.9pt;width:31.95pt;height:19.85pt;z-index:487624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" stroked="f">
                <v:textbox style="mso-fit-shape-to-text:t">
                  <w:txbxContent>
                    <w:p w14:paraId="3C3AC36B" w14:textId="3D550BCE" w:rsidR="00A3515D" w:rsidRPr="002F0576" w:rsidRDefault="00A3515D" w:rsidP="00A3515D">
                      <w:pPr>
                        <w:rPr>
                          <w:lang w:val="en-US"/>
                        </w:rPr>
                      </w:pPr>
                      <w:r>
                        <w:t>35</w:t>
                      </w:r>
                    </w:p>
                  </w:txbxContent>
                </v:textbox>
                <w10:wrap type="square"/>
              </v:shape>
            </w:pict>
          </mc:Fallback>
        </mc:AlternateContent>
      </w:r>
    </w:p>
    <w:p w14:paraId="59BF414A" w14:textId="77777777" w:rsidR="00A36BA5" w:rsidRPr="008270BA" w:rsidRDefault="008270BA">
      <w:pPr>
        <w:spacing w:before="93" w:line="247" w:lineRule="auto"/>
        <w:ind w:left="120"/>
        <w:rPr>
          <w:b/>
          <w:w w:val="90"/>
        </w:rPr>
      </w:pPr>
      <w:r w:rsidRPr="008270BA">
        <w:rPr>
          <w:b/>
          <w:w w:val="90"/>
        </w:rPr>
        <w:lastRenderedPageBreak/>
        <w:t>Estrategia 5.4: Desarrollar la capacidad de implementar servicios que respondan al panorama cambiante de la atención de la salud relacionada con la pandemia del COVID-19.</w:t>
      </w:r>
    </w:p>
    <w:p w14:paraId="193891C5" w14:textId="77777777" w:rsidR="00A36BA5" w:rsidRPr="008270BA" w:rsidRDefault="008270BA">
      <w:pPr>
        <w:pStyle w:val="ListParagraph"/>
        <w:numPr>
          <w:ilvl w:val="0"/>
          <w:numId w:val="3"/>
        </w:numPr>
        <w:tabs>
          <w:tab w:val="left" w:pos="643"/>
        </w:tabs>
        <w:spacing w:before="39"/>
        <w:ind w:left="642" w:hanging="163"/>
        <w:rPr>
          <w:rFonts w:ascii="Symbol" w:hAnsi="Symbol"/>
          <w:w w:val="90"/>
        </w:rPr>
      </w:pPr>
      <w:r w:rsidRPr="008270BA">
        <w:rPr>
          <w:i/>
          <w:w w:val="90"/>
        </w:rPr>
        <w:t>Actividad 5.4.1</w:t>
      </w:r>
      <w:r w:rsidRPr="008270BA">
        <w:rPr>
          <w:w w:val="90"/>
        </w:rPr>
        <w:t>: Aumentar la capacidad y aplicación del uso de telesalud.</w:t>
      </w:r>
    </w:p>
    <w:p w14:paraId="2A3CFCE6" w14:textId="77777777" w:rsidR="00A36BA5" w:rsidRPr="008270BA" w:rsidRDefault="008270BA">
      <w:pPr>
        <w:pStyle w:val="ListParagraph"/>
        <w:numPr>
          <w:ilvl w:val="0"/>
          <w:numId w:val="3"/>
        </w:numPr>
        <w:tabs>
          <w:tab w:val="left" w:pos="643"/>
        </w:tabs>
        <w:spacing w:before="15" w:line="230" w:lineRule="auto"/>
        <w:ind w:right="551" w:hanging="360"/>
        <w:rPr>
          <w:rFonts w:ascii="Symbol" w:hAnsi="Symbol"/>
          <w:w w:val="90"/>
        </w:rPr>
      </w:pPr>
      <w:r w:rsidRPr="008270BA">
        <w:rPr>
          <w:i/>
          <w:w w:val="90"/>
        </w:rPr>
        <w:t xml:space="preserve">Actividad 5.4.2: </w:t>
      </w:r>
      <w:r w:rsidRPr="008270BA">
        <w:rPr>
          <w:w w:val="90"/>
        </w:rPr>
        <w:t>Desarrollar medios virtuales apropiados de capacitación de proveedores y provisión de servicios a personas que viven con VIH o que están en riesgo de padecer VIH.</w:t>
      </w:r>
    </w:p>
    <w:p w14:paraId="00BEBE3A" w14:textId="77777777" w:rsidR="00A36BA5" w:rsidRPr="008270BA" w:rsidRDefault="00A36BA5">
      <w:pPr>
        <w:pStyle w:val="BodyText"/>
        <w:spacing w:before="7"/>
        <w:rPr>
          <w:w w:val="90"/>
          <w:sz w:val="28"/>
        </w:rPr>
      </w:pPr>
    </w:p>
    <w:p w14:paraId="3094732A" w14:textId="77777777" w:rsidR="00A36BA5" w:rsidRPr="008270BA" w:rsidRDefault="008270BA">
      <w:pPr>
        <w:spacing w:line="242" w:lineRule="auto"/>
        <w:ind w:left="120" w:right="370"/>
        <w:rPr>
          <w:i/>
          <w:w w:val="90"/>
          <w:sz w:val="24"/>
        </w:rPr>
      </w:pPr>
      <w:r w:rsidRPr="008270BA">
        <w:rPr>
          <w:i/>
          <w:w w:val="90"/>
          <w:sz w:val="24"/>
        </w:rPr>
        <w:t>Las actividades de la fuerza de trabajo abarcan muchos aspectos y muchas han sido incluidas anteriormente en otras estrategias clave. Las actividades de la fuerza laboral de VIH están enumeradas aquí para brindar enfoque sobre las necesidades del plan EHE.</w:t>
      </w:r>
    </w:p>
    <w:p w14:paraId="4A12DFA9" w14:textId="1A202EF9" w:rsidR="00A36BA5" w:rsidRPr="008270BA" w:rsidRDefault="009D4B53">
      <w:pPr>
        <w:spacing w:line="242" w:lineRule="auto"/>
        <w:rPr>
          <w:w w:val="90"/>
          <w:sz w:val="24"/>
        </w:rPr>
        <w:sectPr w:rsidR="00A36BA5" w:rsidRPr="008270BA">
          <w:pgSz w:w="12240" w:h="15840"/>
          <w:pgMar w:top="1240" w:right="980" w:bottom="1280" w:left="1060" w:header="731" w:footer="997" w:gutter="0"/>
          <w:cols w:space="720"/>
        </w:sectPr>
      </w:pPr>
      <w:r>
        <w:rPr>
          <w:noProof/>
          <w:sz w:val="24"/>
        </w:rPr>
        <mc:AlternateContent>
          <mc:Choice Requires="wps">
            <w:drawing>
              <wp:anchor distT="45720" distB="45720" distL="114300" distR="114300" simplePos="0" relativeHeight="487625728" behindDoc="0" locked="0" layoutInCell="1" allowOverlap="1" wp14:anchorId="042F2918" wp14:editId="17B1C6B1">
                <wp:simplePos x="0" y="0"/>
                <wp:positionH relativeFrom="column">
                  <wp:posOffset>6072505</wp:posOffset>
                </wp:positionH>
                <wp:positionV relativeFrom="paragraph">
                  <wp:posOffset>6774815</wp:posOffset>
                </wp:positionV>
                <wp:extent cx="405765" cy="25209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24BD2" w14:textId="1C9C40C4" w:rsidR="00A3515D" w:rsidRPr="002F0576" w:rsidRDefault="00A3515D" w:rsidP="00A3515D">
                            <w:pPr>
                              <w:rPr>
                                <w:lang w:val="en-US"/>
                              </w:rPr>
                            </w:pPr>
                            <w:r>
                              <w:t>36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2F2918" id="_x0000_s1056" type="#_x0000_t202" style="position:absolute;margin-left:478.15pt;margin-top:533.45pt;width:31.95pt;height:19.85pt;z-index:487625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" stroked="f">
                <v:textbox style="mso-fit-shape-to-text:t">
                  <w:txbxContent>
                    <w:p w14:paraId="34524BD2" w14:textId="1C9C40C4" w:rsidR="00A3515D" w:rsidRPr="002F0576" w:rsidRDefault="00A3515D" w:rsidP="00A3515D">
                      <w:pPr>
                        <w:rPr>
                          <w:lang w:val="en-US"/>
                        </w:rPr>
                      </w:pPr>
                      <w:r>
                        <w:t>36</w:t>
                      </w:r>
                    </w:p>
                  </w:txbxContent>
                </v:textbox>
                <w10:wrap type="square"/>
              </v:shape>
            </w:pict>
          </mc:Fallback>
        </mc:AlternateContent>
      </w:r>
    </w:p>
    <w:p w14:paraId="511B2DB9" w14:textId="77777777" w:rsidR="00A36BA5" w:rsidRPr="008270BA" w:rsidRDefault="008270BA">
      <w:pPr>
        <w:pStyle w:val="Heading1"/>
        <w:ind w:right="656"/>
        <w:rPr>
          <w:w w:val="90"/>
        </w:rPr>
      </w:pPr>
      <w:bookmarkStart w:id="20" w:name="_TOC_250004"/>
      <w:bookmarkEnd w:id="20"/>
      <w:r w:rsidRPr="008270BA">
        <w:rPr>
          <w:w w:val="90"/>
        </w:rPr>
        <w:lastRenderedPageBreak/>
        <w:t>Apéndices</w:t>
      </w:r>
    </w:p>
    <w:p w14:paraId="1AB5F3C4" w14:textId="77777777" w:rsidR="00A36BA5" w:rsidRPr="008270BA" w:rsidRDefault="00A36BA5">
      <w:pPr>
        <w:pStyle w:val="BodyText"/>
        <w:spacing w:before="7"/>
        <w:rPr>
          <w:b/>
          <w:w w:val="90"/>
          <w:sz w:val="27"/>
        </w:rPr>
      </w:pPr>
    </w:p>
    <w:p w14:paraId="51556CB6" w14:textId="77777777" w:rsidR="00A36BA5" w:rsidRPr="008270BA" w:rsidRDefault="008270BA">
      <w:pPr>
        <w:pStyle w:val="Heading2"/>
        <w:spacing w:before="0" w:line="254" w:lineRule="auto"/>
        <w:ind w:left="228" w:right="301"/>
        <w:rPr>
          <w:w w:val="90"/>
        </w:rPr>
      </w:pPr>
      <w:bookmarkStart w:id="21" w:name="_TOC_250003"/>
      <w:r w:rsidRPr="008270BA">
        <w:rPr>
          <w:w w:val="90"/>
        </w:rPr>
        <w:t xml:space="preserve">Apéndice A: Poblaciones de prioridad para el Pilar 2 del Plan de la Ciudad de Filadelfia para Poner Fin a la Epidemia de VIH: Diagnóstico y Pilar 3: </w:t>
      </w:r>
      <w:bookmarkEnd w:id="21"/>
      <w:r w:rsidRPr="008270BA">
        <w:rPr>
          <w:w w:val="90"/>
        </w:rPr>
        <w:t>Prevenir</w:t>
      </w:r>
    </w:p>
    <w:p w14:paraId="55385908" w14:textId="69E0567C" w:rsidR="00A36BA5" w:rsidRPr="008270BA" w:rsidRDefault="009D4B53">
      <w:pPr>
        <w:pStyle w:val="BodyText"/>
        <w:spacing w:before="4"/>
        <w:rPr>
          <w:w w:val="90"/>
        </w:rPr>
      </w:pPr>
      <w:r>
        <w:rPr>
          <w:rFonts w:ascii="Times New Roman"/>
          <w:noProof/>
        </w:rPr>
        <mc:AlternateContent>
          <mc:Choice Requires="wps">
            <w:drawing>
              <wp:anchor distT="45720" distB="45720" distL="114300" distR="114300" simplePos="0" relativeHeight="487626752" behindDoc="0" locked="0" layoutInCell="1" allowOverlap="1" wp14:anchorId="042F2918" wp14:editId="2AF3E68C">
                <wp:simplePos x="0" y="0"/>
                <wp:positionH relativeFrom="column">
                  <wp:posOffset>6024880</wp:posOffset>
                </wp:positionH>
                <wp:positionV relativeFrom="paragraph">
                  <wp:posOffset>7473315</wp:posOffset>
                </wp:positionV>
                <wp:extent cx="405765" cy="25209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A3581" w14:textId="4A0F85A0" w:rsidR="00A3515D" w:rsidRPr="002F0576" w:rsidRDefault="00A3515D" w:rsidP="00A3515D">
                            <w:pPr>
                              <w:rPr>
                                <w:lang w:val="en-US"/>
                              </w:rPr>
                            </w:pPr>
                            <w:r>
                              <w:t>37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2F2918" id="_x0000_s1057" type="#_x0000_t202" style="position:absolute;margin-left:474.4pt;margin-top:588.45pt;width:31.95pt;height:19.85pt;z-index:487626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" stroked="f">
                <v:textbox style="mso-fit-shape-to-text:t">
                  <w:txbxContent>
                    <w:p w14:paraId="555A3581" w14:textId="4A0F85A0" w:rsidR="00A3515D" w:rsidRPr="002F0576" w:rsidRDefault="00A3515D" w:rsidP="00A3515D">
                      <w:pPr>
                        <w:rPr>
                          <w:lang w:val="en-US"/>
                        </w:rPr>
                      </w:pPr>
                      <w:r>
                        <w:t>37</w:t>
                      </w:r>
                    </w:p>
                  </w:txbxContent>
                </v:textbox>
                <w10:wrap type="square"/>
              </v:shape>
            </w:pict>
          </mc:Fallback>
        </mc:AlternateContent>
      </w:r>
    </w:p>
    <w:tbl>
      <w:tblPr>
        <w:tblStyle w:val="TableNormal1"/>
        <w:tblW w:w="0" w:type="auto"/>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20"/>
        <w:gridCol w:w="1520"/>
        <w:gridCol w:w="1520"/>
        <w:gridCol w:w="1700"/>
        <w:gridCol w:w="1720"/>
      </w:tblGrid>
      <w:tr w:rsidR="00A36BA5" w:rsidRPr="008270BA" w14:paraId="149AFA72" w14:textId="77777777">
        <w:trPr>
          <w:trHeight w:val="580"/>
        </w:trPr>
        <w:tc>
          <w:tcPr>
            <w:tcW w:w="3120" w:type="dxa"/>
            <w:vMerge w:val="restart"/>
            <w:shd w:val="clear" w:color="auto" w:fill="001F5F"/>
          </w:tcPr>
          <w:p w14:paraId="6DBC7CB8" w14:textId="77777777" w:rsidR="00A36BA5" w:rsidRPr="00350D69" w:rsidRDefault="00A36BA5">
            <w:pPr>
              <w:pStyle w:val="TableParagraph"/>
              <w:spacing w:before="0"/>
              <w:rPr>
                <w:w w:val="90"/>
                <w:sz w:val="18"/>
                <w:szCs w:val="18"/>
              </w:rPr>
            </w:pPr>
          </w:p>
          <w:p w14:paraId="73097F80" w14:textId="77777777" w:rsidR="00A36BA5" w:rsidRPr="00350D69" w:rsidRDefault="00A36BA5">
            <w:pPr>
              <w:pStyle w:val="TableParagraph"/>
              <w:spacing w:before="0"/>
              <w:rPr>
                <w:w w:val="90"/>
                <w:sz w:val="18"/>
                <w:szCs w:val="18"/>
              </w:rPr>
            </w:pPr>
          </w:p>
          <w:p w14:paraId="4E6D37A0" w14:textId="77777777" w:rsidR="00A36BA5" w:rsidRPr="00350D69" w:rsidRDefault="00A36BA5">
            <w:pPr>
              <w:pStyle w:val="TableParagraph"/>
              <w:spacing w:before="0"/>
              <w:rPr>
                <w:w w:val="90"/>
                <w:sz w:val="18"/>
                <w:szCs w:val="18"/>
              </w:rPr>
            </w:pPr>
          </w:p>
          <w:p w14:paraId="4EFBE524" w14:textId="77777777" w:rsidR="00A36BA5" w:rsidRPr="00350D69" w:rsidRDefault="008270BA">
            <w:pPr>
              <w:pStyle w:val="TableParagraph"/>
              <w:spacing w:before="1"/>
              <w:ind w:left="1094"/>
              <w:rPr>
                <w:b/>
                <w:w w:val="90"/>
                <w:sz w:val="18"/>
                <w:szCs w:val="18"/>
              </w:rPr>
            </w:pPr>
            <w:r w:rsidRPr="00350D69">
              <w:rPr>
                <w:b/>
                <w:color w:val="FFFFFF"/>
                <w:w w:val="90"/>
                <w:sz w:val="18"/>
                <w:szCs w:val="18"/>
              </w:rPr>
              <w:t>Categoría</w:t>
            </w:r>
          </w:p>
        </w:tc>
        <w:tc>
          <w:tcPr>
            <w:tcW w:w="4740" w:type="dxa"/>
            <w:gridSpan w:val="3"/>
            <w:shd w:val="clear" w:color="auto" w:fill="001F5F"/>
          </w:tcPr>
          <w:p w14:paraId="30928520" w14:textId="77777777" w:rsidR="00A36BA5" w:rsidRPr="00350D69" w:rsidRDefault="008270BA">
            <w:pPr>
              <w:pStyle w:val="TableParagraph"/>
              <w:spacing w:before="135"/>
              <w:ind w:left="1533"/>
              <w:rPr>
                <w:b/>
                <w:w w:val="90"/>
                <w:sz w:val="18"/>
                <w:szCs w:val="18"/>
              </w:rPr>
            </w:pPr>
            <w:r w:rsidRPr="00350D69">
              <w:rPr>
                <w:b/>
                <w:color w:val="FFFFFF"/>
                <w:w w:val="90"/>
                <w:sz w:val="18"/>
                <w:szCs w:val="18"/>
              </w:rPr>
              <w:t>Pilar 1: Diagnosticar</w:t>
            </w:r>
          </w:p>
        </w:tc>
        <w:tc>
          <w:tcPr>
            <w:tcW w:w="1720" w:type="dxa"/>
            <w:shd w:val="clear" w:color="auto" w:fill="001F5F"/>
          </w:tcPr>
          <w:p w14:paraId="0009D773" w14:textId="77777777" w:rsidR="00A36BA5" w:rsidRPr="00350D69" w:rsidRDefault="008270BA">
            <w:pPr>
              <w:pStyle w:val="TableParagraph"/>
              <w:spacing w:before="0" w:line="242" w:lineRule="auto"/>
              <w:ind w:left="497" w:right="302" w:firstLine="14"/>
              <w:rPr>
                <w:b/>
                <w:w w:val="90"/>
                <w:sz w:val="18"/>
                <w:szCs w:val="18"/>
              </w:rPr>
            </w:pPr>
            <w:r w:rsidRPr="00350D69">
              <w:rPr>
                <w:b/>
                <w:color w:val="FFFFFF"/>
                <w:w w:val="90"/>
                <w:sz w:val="18"/>
                <w:szCs w:val="18"/>
              </w:rPr>
              <w:t>Pilar 3: Prevenir</w:t>
            </w:r>
          </w:p>
        </w:tc>
      </w:tr>
      <w:tr w:rsidR="00A36BA5" w:rsidRPr="008270BA" w14:paraId="7F6FDAEF" w14:textId="77777777" w:rsidTr="00350D69">
        <w:trPr>
          <w:trHeight w:val="1124"/>
        </w:trPr>
        <w:tc>
          <w:tcPr>
            <w:tcW w:w="3120" w:type="dxa"/>
            <w:vMerge/>
            <w:tcBorders>
              <w:top w:val="nil"/>
            </w:tcBorders>
            <w:shd w:val="clear" w:color="auto" w:fill="001F5F"/>
          </w:tcPr>
          <w:p w14:paraId="1886AC94" w14:textId="77777777" w:rsidR="00A36BA5" w:rsidRPr="00350D69" w:rsidRDefault="00A36BA5">
            <w:pPr>
              <w:rPr>
                <w:w w:val="90"/>
                <w:sz w:val="18"/>
                <w:szCs w:val="18"/>
              </w:rPr>
            </w:pPr>
          </w:p>
        </w:tc>
        <w:tc>
          <w:tcPr>
            <w:tcW w:w="1520" w:type="dxa"/>
            <w:shd w:val="clear" w:color="auto" w:fill="001F5F"/>
          </w:tcPr>
          <w:p w14:paraId="01975DA4" w14:textId="77777777" w:rsidR="00A36BA5" w:rsidRPr="00350D69" w:rsidRDefault="00A36BA5">
            <w:pPr>
              <w:pStyle w:val="TableParagraph"/>
              <w:spacing w:before="10"/>
              <w:rPr>
                <w:w w:val="90"/>
                <w:sz w:val="18"/>
                <w:szCs w:val="18"/>
              </w:rPr>
            </w:pPr>
          </w:p>
          <w:p w14:paraId="26EFFC85" w14:textId="77777777" w:rsidR="00A36BA5" w:rsidRPr="00350D69" w:rsidRDefault="008270BA">
            <w:pPr>
              <w:pStyle w:val="TableParagraph"/>
              <w:spacing w:before="0"/>
              <w:ind w:left="118" w:right="53"/>
              <w:jc w:val="center"/>
              <w:rPr>
                <w:b/>
                <w:w w:val="90"/>
                <w:sz w:val="18"/>
                <w:szCs w:val="18"/>
              </w:rPr>
            </w:pPr>
            <w:r w:rsidRPr="00350D69">
              <w:rPr>
                <w:b/>
                <w:color w:val="FFFFFF"/>
                <w:w w:val="90"/>
                <w:sz w:val="18"/>
                <w:szCs w:val="18"/>
              </w:rPr>
              <w:t>2019</w:t>
            </w:r>
          </w:p>
          <w:p w14:paraId="5FB7347B" w14:textId="77777777" w:rsidR="00A36BA5" w:rsidRPr="00350D69" w:rsidRDefault="008270BA">
            <w:pPr>
              <w:pStyle w:val="TableParagraph"/>
              <w:spacing w:before="24"/>
              <w:ind w:left="118" w:right="55"/>
              <w:jc w:val="center"/>
              <w:rPr>
                <w:b/>
                <w:w w:val="90"/>
                <w:sz w:val="18"/>
                <w:szCs w:val="18"/>
              </w:rPr>
            </w:pPr>
            <w:r w:rsidRPr="00350D69">
              <w:rPr>
                <w:b/>
                <w:color w:val="FFFFFF"/>
                <w:w w:val="90"/>
                <w:sz w:val="18"/>
                <w:szCs w:val="18"/>
              </w:rPr>
              <w:t>VIH</w:t>
            </w:r>
          </w:p>
          <w:p w14:paraId="12652E5D" w14:textId="77777777" w:rsidR="00A36BA5" w:rsidRPr="00350D69" w:rsidRDefault="008270BA">
            <w:pPr>
              <w:pStyle w:val="TableParagraph"/>
              <w:spacing w:before="24"/>
              <w:ind w:left="118" w:right="70"/>
              <w:jc w:val="center"/>
              <w:rPr>
                <w:b/>
                <w:w w:val="90"/>
                <w:sz w:val="18"/>
                <w:szCs w:val="18"/>
              </w:rPr>
            </w:pPr>
            <w:r w:rsidRPr="00350D69">
              <w:rPr>
                <w:b/>
                <w:color w:val="FFFFFF"/>
                <w:w w:val="90"/>
                <w:sz w:val="18"/>
                <w:szCs w:val="18"/>
              </w:rPr>
              <w:t>Diagnósticos</w:t>
            </w:r>
          </w:p>
        </w:tc>
        <w:tc>
          <w:tcPr>
            <w:tcW w:w="1520" w:type="dxa"/>
            <w:shd w:val="clear" w:color="auto" w:fill="001F5F"/>
          </w:tcPr>
          <w:p w14:paraId="4EB04F25" w14:textId="77777777" w:rsidR="00A36BA5" w:rsidRPr="00350D69" w:rsidRDefault="008270BA" w:rsidP="00350D69">
            <w:pPr>
              <w:pStyle w:val="TableParagraph"/>
              <w:spacing w:before="135"/>
              <w:ind w:left="32"/>
              <w:rPr>
                <w:b/>
                <w:w w:val="90"/>
                <w:sz w:val="18"/>
                <w:szCs w:val="18"/>
              </w:rPr>
            </w:pPr>
            <w:r w:rsidRPr="00350D69">
              <w:rPr>
                <w:b/>
                <w:color w:val="FFFFFF"/>
                <w:w w:val="90"/>
                <w:sz w:val="18"/>
                <w:szCs w:val="18"/>
              </w:rPr>
              <w:t>2019</w:t>
            </w:r>
          </w:p>
          <w:p w14:paraId="5CD92278" w14:textId="77777777" w:rsidR="00A36BA5" w:rsidRPr="00350D69" w:rsidRDefault="008270BA" w:rsidP="00350D69">
            <w:pPr>
              <w:pStyle w:val="TableParagraph"/>
              <w:spacing w:before="24" w:line="252" w:lineRule="auto"/>
              <w:ind w:left="32" w:right="183" w:firstLine="28"/>
              <w:jc w:val="both"/>
              <w:rPr>
                <w:b/>
                <w:w w:val="90"/>
                <w:sz w:val="18"/>
                <w:szCs w:val="18"/>
              </w:rPr>
            </w:pPr>
            <w:r w:rsidRPr="00350D69">
              <w:rPr>
                <w:b/>
                <w:color w:val="FFFFFF"/>
                <w:w w:val="90"/>
                <w:sz w:val="18"/>
                <w:szCs w:val="18"/>
              </w:rPr>
              <w:t>Vinculación a atención en 30 días (#/%)</w:t>
            </w:r>
          </w:p>
        </w:tc>
        <w:tc>
          <w:tcPr>
            <w:tcW w:w="1700" w:type="dxa"/>
            <w:shd w:val="clear" w:color="auto" w:fill="001F5F"/>
          </w:tcPr>
          <w:p w14:paraId="110C423E" w14:textId="77777777" w:rsidR="00A36BA5" w:rsidRPr="00350D69" w:rsidRDefault="00A36BA5">
            <w:pPr>
              <w:pStyle w:val="TableParagraph"/>
              <w:spacing w:before="9"/>
              <w:rPr>
                <w:w w:val="90"/>
                <w:sz w:val="18"/>
                <w:szCs w:val="18"/>
              </w:rPr>
            </w:pPr>
          </w:p>
          <w:p w14:paraId="1E56068A" w14:textId="77777777" w:rsidR="00A36BA5" w:rsidRPr="00350D69" w:rsidRDefault="008270BA" w:rsidP="00350D69">
            <w:pPr>
              <w:pStyle w:val="TableParagraph"/>
              <w:spacing w:before="0" w:line="242" w:lineRule="auto"/>
              <w:ind w:left="213"/>
              <w:jc w:val="center"/>
              <w:rPr>
                <w:b/>
                <w:w w:val="90"/>
                <w:sz w:val="18"/>
                <w:szCs w:val="18"/>
              </w:rPr>
            </w:pPr>
            <w:r w:rsidRPr="00350D69">
              <w:rPr>
                <w:b/>
                <w:color w:val="FFFFFF"/>
                <w:w w:val="90"/>
                <w:sz w:val="18"/>
                <w:szCs w:val="18"/>
              </w:rPr>
              <w:t>2018 Sin conocimiento (#/%)</w:t>
            </w:r>
          </w:p>
        </w:tc>
        <w:tc>
          <w:tcPr>
            <w:tcW w:w="1720" w:type="dxa"/>
            <w:shd w:val="clear" w:color="auto" w:fill="001F5F"/>
          </w:tcPr>
          <w:p w14:paraId="65459095" w14:textId="77777777" w:rsidR="00A36BA5" w:rsidRPr="00350D69" w:rsidRDefault="008270BA">
            <w:pPr>
              <w:pStyle w:val="TableParagraph"/>
              <w:spacing w:before="0" w:line="254" w:lineRule="auto"/>
              <w:ind w:left="161" w:right="90" w:firstLine="10"/>
              <w:jc w:val="center"/>
              <w:rPr>
                <w:b/>
                <w:w w:val="90"/>
                <w:sz w:val="18"/>
                <w:szCs w:val="18"/>
              </w:rPr>
            </w:pPr>
            <w:r w:rsidRPr="00350D69">
              <w:rPr>
                <w:b/>
                <w:color w:val="FFFFFF"/>
                <w:w w:val="90"/>
                <w:sz w:val="18"/>
                <w:szCs w:val="18"/>
              </w:rPr>
              <w:t xml:space="preserve"># de personas VIH negativo con una indicación de </w:t>
            </w:r>
          </w:p>
          <w:p w14:paraId="38C883AA" w14:textId="77777777" w:rsidR="00A36BA5" w:rsidRPr="00350D69" w:rsidRDefault="008270BA">
            <w:pPr>
              <w:pStyle w:val="TableParagraph"/>
              <w:spacing w:before="0" w:line="266" w:lineRule="exact"/>
              <w:ind w:left="302" w:right="224"/>
              <w:jc w:val="center"/>
              <w:rPr>
                <w:b/>
                <w:w w:val="90"/>
                <w:sz w:val="18"/>
                <w:szCs w:val="18"/>
              </w:rPr>
            </w:pPr>
            <w:r w:rsidRPr="00350D69">
              <w:rPr>
                <w:b/>
                <w:color w:val="FFFFFF"/>
                <w:w w:val="90"/>
                <w:sz w:val="18"/>
                <w:szCs w:val="18"/>
              </w:rPr>
              <w:t>PrEP</w:t>
            </w:r>
          </w:p>
        </w:tc>
      </w:tr>
      <w:tr w:rsidR="00A36BA5" w:rsidRPr="008270BA" w14:paraId="00503E33" w14:textId="77777777">
        <w:trPr>
          <w:trHeight w:val="420"/>
        </w:trPr>
        <w:tc>
          <w:tcPr>
            <w:tcW w:w="3120" w:type="dxa"/>
          </w:tcPr>
          <w:p w14:paraId="012EFC4A" w14:textId="77777777" w:rsidR="00A36BA5" w:rsidRPr="008270BA" w:rsidRDefault="008270BA">
            <w:pPr>
              <w:pStyle w:val="TableParagraph"/>
              <w:ind w:left="137"/>
              <w:rPr>
                <w:b/>
                <w:w w:val="90"/>
                <w:sz w:val="24"/>
              </w:rPr>
            </w:pPr>
            <w:r w:rsidRPr="008270BA">
              <w:rPr>
                <w:b/>
                <w:w w:val="90"/>
                <w:sz w:val="24"/>
              </w:rPr>
              <w:t>Total</w:t>
            </w:r>
          </w:p>
        </w:tc>
        <w:tc>
          <w:tcPr>
            <w:tcW w:w="1520" w:type="dxa"/>
          </w:tcPr>
          <w:p w14:paraId="029140EF" w14:textId="77777777" w:rsidR="00A36BA5" w:rsidRPr="008270BA" w:rsidRDefault="008270BA">
            <w:pPr>
              <w:pStyle w:val="TableParagraph"/>
              <w:ind w:left="118" w:right="50"/>
              <w:jc w:val="center"/>
              <w:rPr>
                <w:b/>
                <w:w w:val="90"/>
                <w:sz w:val="24"/>
              </w:rPr>
            </w:pPr>
            <w:r w:rsidRPr="008270BA">
              <w:rPr>
                <w:b/>
                <w:w w:val="90"/>
                <w:sz w:val="24"/>
              </w:rPr>
              <w:t>439</w:t>
            </w:r>
          </w:p>
        </w:tc>
        <w:tc>
          <w:tcPr>
            <w:tcW w:w="1520" w:type="dxa"/>
          </w:tcPr>
          <w:p w14:paraId="1974BE16" w14:textId="77777777" w:rsidR="00A36BA5" w:rsidRPr="008270BA" w:rsidRDefault="008270BA">
            <w:pPr>
              <w:pStyle w:val="TableParagraph"/>
              <w:ind w:right="70"/>
              <w:jc w:val="right"/>
              <w:rPr>
                <w:b/>
                <w:w w:val="90"/>
                <w:sz w:val="24"/>
              </w:rPr>
            </w:pPr>
            <w:r w:rsidRPr="008270BA">
              <w:rPr>
                <w:b/>
                <w:w w:val="90"/>
                <w:sz w:val="24"/>
              </w:rPr>
              <w:t>357 (81.3%)</w:t>
            </w:r>
          </w:p>
        </w:tc>
        <w:tc>
          <w:tcPr>
            <w:tcW w:w="1700" w:type="dxa"/>
          </w:tcPr>
          <w:p w14:paraId="2EAD05E1" w14:textId="77777777" w:rsidR="00A36BA5" w:rsidRPr="008270BA" w:rsidRDefault="008270BA">
            <w:pPr>
              <w:pStyle w:val="TableParagraph"/>
              <w:ind w:left="146" w:right="77"/>
              <w:jc w:val="center"/>
              <w:rPr>
                <w:b/>
                <w:w w:val="90"/>
                <w:sz w:val="24"/>
              </w:rPr>
            </w:pPr>
            <w:r w:rsidRPr="008270BA">
              <w:rPr>
                <w:b/>
                <w:w w:val="90"/>
                <w:sz w:val="24"/>
              </w:rPr>
              <w:t>1,700</w:t>
            </w:r>
          </w:p>
        </w:tc>
        <w:tc>
          <w:tcPr>
            <w:tcW w:w="1720" w:type="dxa"/>
          </w:tcPr>
          <w:p w14:paraId="3EC7568D" w14:textId="77777777" w:rsidR="00A36BA5" w:rsidRPr="008270BA" w:rsidRDefault="008270BA">
            <w:pPr>
              <w:pStyle w:val="TableParagraph"/>
              <w:ind w:left="521"/>
              <w:rPr>
                <w:b/>
                <w:w w:val="90"/>
                <w:sz w:val="24"/>
              </w:rPr>
            </w:pPr>
            <w:r w:rsidRPr="008270BA">
              <w:rPr>
                <w:b/>
                <w:w w:val="90"/>
                <w:sz w:val="24"/>
              </w:rPr>
              <w:t>13,960</w:t>
            </w:r>
          </w:p>
        </w:tc>
      </w:tr>
      <w:tr w:rsidR="00A36BA5" w:rsidRPr="008270BA" w14:paraId="33B81004" w14:textId="77777777">
        <w:trPr>
          <w:trHeight w:val="420"/>
        </w:trPr>
        <w:tc>
          <w:tcPr>
            <w:tcW w:w="9580" w:type="dxa"/>
            <w:gridSpan w:val="5"/>
            <w:shd w:val="clear" w:color="auto" w:fill="D9D9D9"/>
          </w:tcPr>
          <w:p w14:paraId="216ED397" w14:textId="77777777" w:rsidR="00A36BA5" w:rsidRPr="008270BA" w:rsidRDefault="008270BA">
            <w:pPr>
              <w:pStyle w:val="TableParagraph"/>
              <w:ind w:left="137"/>
              <w:rPr>
                <w:b/>
                <w:w w:val="90"/>
                <w:sz w:val="24"/>
              </w:rPr>
            </w:pPr>
            <w:r w:rsidRPr="008270BA">
              <w:rPr>
                <w:b/>
                <w:w w:val="90"/>
                <w:sz w:val="24"/>
              </w:rPr>
              <w:t>PWID</w:t>
            </w:r>
          </w:p>
        </w:tc>
      </w:tr>
      <w:tr w:rsidR="00A36BA5" w:rsidRPr="008270BA" w14:paraId="033CDC16" w14:textId="77777777">
        <w:trPr>
          <w:trHeight w:val="420"/>
        </w:trPr>
        <w:tc>
          <w:tcPr>
            <w:tcW w:w="3120" w:type="dxa"/>
          </w:tcPr>
          <w:p w14:paraId="374B283E" w14:textId="77777777" w:rsidR="00A36BA5" w:rsidRPr="008270BA" w:rsidRDefault="00350D69" w:rsidP="00350D69">
            <w:pPr>
              <w:pStyle w:val="TableParagraph"/>
              <w:ind w:left="137"/>
              <w:rPr>
                <w:w w:val="90"/>
                <w:sz w:val="24"/>
                <w:lang w:val="en-US"/>
              </w:rPr>
            </w:pPr>
            <w:r>
              <w:rPr>
                <w:w w:val="90"/>
                <w:sz w:val="24"/>
                <w:lang w:val="en-US"/>
              </w:rPr>
              <w:t>PWID (</w:t>
            </w:r>
            <w:proofErr w:type="spellStart"/>
            <w:r>
              <w:rPr>
                <w:w w:val="90"/>
                <w:sz w:val="24"/>
                <w:lang w:val="en-US"/>
              </w:rPr>
              <w:t>Incluye</w:t>
            </w:r>
            <w:proofErr w:type="spellEnd"/>
            <w:r>
              <w:rPr>
                <w:w w:val="90"/>
                <w:sz w:val="24"/>
                <w:lang w:val="en-US"/>
              </w:rPr>
              <w:t xml:space="preserve"> M</w:t>
            </w:r>
            <w:r w:rsidR="008270BA" w:rsidRPr="008270BA">
              <w:rPr>
                <w:w w:val="90"/>
                <w:sz w:val="24"/>
                <w:lang w:val="en-US"/>
              </w:rPr>
              <w:t>SM/PWID)</w:t>
            </w:r>
          </w:p>
        </w:tc>
        <w:tc>
          <w:tcPr>
            <w:tcW w:w="1520" w:type="dxa"/>
          </w:tcPr>
          <w:p w14:paraId="5953B49A" w14:textId="77777777" w:rsidR="00A36BA5" w:rsidRPr="008270BA" w:rsidRDefault="008270BA">
            <w:pPr>
              <w:pStyle w:val="TableParagraph"/>
              <w:ind w:left="118" w:right="53"/>
              <w:jc w:val="center"/>
              <w:rPr>
                <w:w w:val="90"/>
                <w:sz w:val="24"/>
              </w:rPr>
            </w:pPr>
            <w:r w:rsidRPr="008270BA">
              <w:rPr>
                <w:w w:val="90"/>
                <w:sz w:val="24"/>
              </w:rPr>
              <w:t>83</w:t>
            </w:r>
          </w:p>
        </w:tc>
        <w:tc>
          <w:tcPr>
            <w:tcW w:w="1520" w:type="dxa"/>
          </w:tcPr>
          <w:p w14:paraId="7B446F3A" w14:textId="77777777" w:rsidR="00A36BA5" w:rsidRPr="008270BA" w:rsidRDefault="008270BA">
            <w:pPr>
              <w:pStyle w:val="TableParagraph"/>
              <w:ind w:right="136"/>
              <w:jc w:val="right"/>
              <w:rPr>
                <w:w w:val="90"/>
                <w:sz w:val="24"/>
              </w:rPr>
            </w:pPr>
            <w:r w:rsidRPr="008270BA">
              <w:rPr>
                <w:w w:val="90"/>
                <w:sz w:val="24"/>
              </w:rPr>
              <w:t>64 (77.1%)</w:t>
            </w:r>
          </w:p>
        </w:tc>
        <w:tc>
          <w:tcPr>
            <w:tcW w:w="1700" w:type="dxa"/>
          </w:tcPr>
          <w:p w14:paraId="0B6C0ADF" w14:textId="77777777" w:rsidR="00A36BA5" w:rsidRPr="008270BA" w:rsidRDefault="008270BA">
            <w:pPr>
              <w:pStyle w:val="TableParagraph"/>
              <w:ind w:left="146" w:right="76"/>
              <w:jc w:val="center"/>
              <w:rPr>
                <w:w w:val="90"/>
                <w:sz w:val="24"/>
              </w:rPr>
            </w:pPr>
            <w:r w:rsidRPr="008270BA">
              <w:rPr>
                <w:w w:val="90"/>
                <w:sz w:val="24"/>
              </w:rPr>
              <w:t>150 (4.6%)</w:t>
            </w:r>
          </w:p>
        </w:tc>
        <w:tc>
          <w:tcPr>
            <w:tcW w:w="1720" w:type="dxa"/>
          </w:tcPr>
          <w:p w14:paraId="4AE9B7CC" w14:textId="77777777" w:rsidR="00A36BA5" w:rsidRPr="008270BA" w:rsidRDefault="008270BA">
            <w:pPr>
              <w:pStyle w:val="TableParagraph"/>
              <w:ind w:left="589"/>
              <w:rPr>
                <w:w w:val="90"/>
                <w:sz w:val="24"/>
              </w:rPr>
            </w:pPr>
            <w:r w:rsidRPr="008270BA">
              <w:rPr>
                <w:w w:val="90"/>
                <w:sz w:val="24"/>
              </w:rPr>
              <w:t>2,570</w:t>
            </w:r>
          </w:p>
        </w:tc>
      </w:tr>
      <w:tr w:rsidR="00A36BA5" w:rsidRPr="008270BA" w14:paraId="6F924E85" w14:textId="77777777">
        <w:trPr>
          <w:trHeight w:val="420"/>
        </w:trPr>
        <w:tc>
          <w:tcPr>
            <w:tcW w:w="9580" w:type="dxa"/>
            <w:gridSpan w:val="5"/>
            <w:shd w:val="clear" w:color="auto" w:fill="D9D9D9"/>
          </w:tcPr>
          <w:p w14:paraId="50D3FCB3" w14:textId="77777777" w:rsidR="00A36BA5" w:rsidRPr="008270BA" w:rsidRDefault="008270BA">
            <w:pPr>
              <w:pStyle w:val="TableParagraph"/>
              <w:ind w:left="137"/>
              <w:rPr>
                <w:b/>
                <w:w w:val="90"/>
                <w:sz w:val="24"/>
              </w:rPr>
            </w:pPr>
            <w:r w:rsidRPr="008270BA">
              <w:rPr>
                <w:b/>
                <w:w w:val="90"/>
                <w:sz w:val="24"/>
              </w:rPr>
              <w:t>MSM</w:t>
            </w:r>
          </w:p>
        </w:tc>
      </w:tr>
      <w:tr w:rsidR="00A36BA5" w:rsidRPr="008270BA" w14:paraId="1C1AD6DD" w14:textId="77777777">
        <w:trPr>
          <w:trHeight w:val="420"/>
        </w:trPr>
        <w:tc>
          <w:tcPr>
            <w:tcW w:w="3120" w:type="dxa"/>
          </w:tcPr>
          <w:p w14:paraId="5ADB3FF2" w14:textId="77777777" w:rsidR="00A36BA5" w:rsidRPr="008270BA" w:rsidRDefault="008270BA">
            <w:pPr>
              <w:pStyle w:val="TableParagraph"/>
              <w:ind w:left="137"/>
              <w:rPr>
                <w:w w:val="90"/>
                <w:sz w:val="24"/>
              </w:rPr>
            </w:pPr>
            <w:r w:rsidRPr="008270BA">
              <w:rPr>
                <w:w w:val="90"/>
                <w:sz w:val="24"/>
              </w:rPr>
              <w:t>MSM negros</w:t>
            </w:r>
          </w:p>
        </w:tc>
        <w:tc>
          <w:tcPr>
            <w:tcW w:w="1520" w:type="dxa"/>
          </w:tcPr>
          <w:p w14:paraId="28311C07" w14:textId="77777777" w:rsidR="00A36BA5" w:rsidRPr="008270BA" w:rsidRDefault="008270BA">
            <w:pPr>
              <w:pStyle w:val="TableParagraph"/>
              <w:ind w:left="118" w:right="50"/>
              <w:jc w:val="center"/>
              <w:rPr>
                <w:w w:val="90"/>
                <w:sz w:val="24"/>
              </w:rPr>
            </w:pPr>
            <w:r w:rsidRPr="008270BA">
              <w:rPr>
                <w:w w:val="90"/>
                <w:sz w:val="24"/>
              </w:rPr>
              <w:t>157</w:t>
            </w:r>
          </w:p>
        </w:tc>
        <w:tc>
          <w:tcPr>
            <w:tcW w:w="1520" w:type="dxa"/>
          </w:tcPr>
          <w:p w14:paraId="7F0D0EB5" w14:textId="77777777" w:rsidR="00A36BA5" w:rsidRPr="008270BA" w:rsidRDefault="008270BA">
            <w:pPr>
              <w:pStyle w:val="TableParagraph"/>
              <w:ind w:right="72"/>
              <w:jc w:val="right"/>
              <w:rPr>
                <w:w w:val="90"/>
                <w:sz w:val="24"/>
              </w:rPr>
            </w:pPr>
            <w:r w:rsidRPr="008270BA">
              <w:rPr>
                <w:w w:val="90"/>
                <w:sz w:val="24"/>
              </w:rPr>
              <w:t>127 (80.9%)</w:t>
            </w:r>
          </w:p>
        </w:tc>
        <w:tc>
          <w:tcPr>
            <w:tcW w:w="1700" w:type="dxa"/>
            <w:vMerge w:val="restart"/>
          </w:tcPr>
          <w:p w14:paraId="32FA319D" w14:textId="77777777" w:rsidR="00A36BA5" w:rsidRPr="008270BA" w:rsidRDefault="00A36BA5">
            <w:pPr>
              <w:pStyle w:val="TableParagraph"/>
              <w:spacing w:before="0"/>
              <w:rPr>
                <w:w w:val="90"/>
                <w:sz w:val="26"/>
              </w:rPr>
            </w:pPr>
          </w:p>
          <w:p w14:paraId="434E1140" w14:textId="77777777" w:rsidR="00A36BA5" w:rsidRPr="008270BA" w:rsidRDefault="00A36BA5">
            <w:pPr>
              <w:pStyle w:val="TableParagraph"/>
              <w:spacing w:before="0"/>
              <w:rPr>
                <w:w w:val="90"/>
                <w:sz w:val="26"/>
              </w:rPr>
            </w:pPr>
          </w:p>
          <w:p w14:paraId="24F8AD74" w14:textId="77777777" w:rsidR="00A36BA5" w:rsidRPr="008270BA" w:rsidRDefault="00A36BA5">
            <w:pPr>
              <w:pStyle w:val="TableParagraph"/>
              <w:spacing w:before="0"/>
              <w:rPr>
                <w:w w:val="90"/>
                <w:sz w:val="26"/>
              </w:rPr>
            </w:pPr>
          </w:p>
          <w:p w14:paraId="7322EF83" w14:textId="77777777" w:rsidR="00A36BA5" w:rsidRPr="008270BA" w:rsidRDefault="00A36BA5">
            <w:pPr>
              <w:pStyle w:val="TableParagraph"/>
              <w:spacing w:before="4"/>
              <w:rPr>
                <w:w w:val="90"/>
                <w:sz w:val="29"/>
              </w:rPr>
            </w:pPr>
          </w:p>
          <w:p w14:paraId="1E4B7385" w14:textId="77777777" w:rsidR="00A36BA5" w:rsidRPr="008270BA" w:rsidRDefault="008270BA">
            <w:pPr>
              <w:pStyle w:val="TableParagraph"/>
              <w:spacing w:before="0"/>
              <w:ind w:left="202"/>
              <w:rPr>
                <w:w w:val="90"/>
                <w:sz w:val="24"/>
              </w:rPr>
            </w:pPr>
            <w:r w:rsidRPr="008270BA">
              <w:rPr>
                <w:w w:val="90"/>
                <w:sz w:val="24"/>
              </w:rPr>
              <w:t>1,000 (13.7% )</w:t>
            </w:r>
          </w:p>
        </w:tc>
        <w:tc>
          <w:tcPr>
            <w:tcW w:w="1720" w:type="dxa"/>
          </w:tcPr>
          <w:p w14:paraId="4F9B83C4" w14:textId="77777777" w:rsidR="00A36BA5" w:rsidRPr="008270BA" w:rsidRDefault="008270BA">
            <w:pPr>
              <w:pStyle w:val="TableParagraph"/>
              <w:ind w:left="589"/>
              <w:rPr>
                <w:w w:val="90"/>
                <w:sz w:val="24"/>
              </w:rPr>
            </w:pPr>
            <w:r w:rsidRPr="008270BA">
              <w:rPr>
                <w:w w:val="90"/>
                <w:sz w:val="24"/>
              </w:rPr>
              <w:t>5,540</w:t>
            </w:r>
          </w:p>
        </w:tc>
      </w:tr>
      <w:tr w:rsidR="00A36BA5" w:rsidRPr="008270BA" w14:paraId="4D97571E" w14:textId="77777777">
        <w:trPr>
          <w:trHeight w:val="420"/>
        </w:trPr>
        <w:tc>
          <w:tcPr>
            <w:tcW w:w="3120" w:type="dxa"/>
          </w:tcPr>
          <w:p w14:paraId="4CB19BE6" w14:textId="77777777" w:rsidR="00A36BA5" w:rsidRPr="008270BA" w:rsidRDefault="008270BA">
            <w:pPr>
              <w:pStyle w:val="TableParagraph"/>
              <w:ind w:left="137"/>
              <w:rPr>
                <w:w w:val="90"/>
                <w:sz w:val="24"/>
              </w:rPr>
            </w:pPr>
            <w:r w:rsidRPr="008270BA">
              <w:rPr>
                <w:w w:val="90"/>
                <w:sz w:val="24"/>
              </w:rPr>
              <w:t>MSM hispanos/latinos</w:t>
            </w:r>
          </w:p>
        </w:tc>
        <w:tc>
          <w:tcPr>
            <w:tcW w:w="1520" w:type="dxa"/>
          </w:tcPr>
          <w:p w14:paraId="54B6A88F" w14:textId="77777777" w:rsidR="00A36BA5" w:rsidRPr="008270BA" w:rsidRDefault="008270BA">
            <w:pPr>
              <w:pStyle w:val="TableParagraph"/>
              <w:ind w:left="118" w:right="53"/>
              <w:jc w:val="center"/>
              <w:rPr>
                <w:w w:val="90"/>
                <w:sz w:val="24"/>
              </w:rPr>
            </w:pPr>
            <w:r w:rsidRPr="008270BA">
              <w:rPr>
                <w:w w:val="90"/>
                <w:sz w:val="24"/>
              </w:rPr>
              <w:t>45</w:t>
            </w:r>
          </w:p>
        </w:tc>
        <w:tc>
          <w:tcPr>
            <w:tcW w:w="1520" w:type="dxa"/>
          </w:tcPr>
          <w:p w14:paraId="7E6D6643" w14:textId="77777777" w:rsidR="00A36BA5" w:rsidRPr="008270BA" w:rsidRDefault="008270BA">
            <w:pPr>
              <w:pStyle w:val="TableParagraph"/>
              <w:ind w:right="136"/>
              <w:jc w:val="right"/>
              <w:rPr>
                <w:w w:val="90"/>
                <w:sz w:val="24"/>
              </w:rPr>
            </w:pPr>
            <w:r w:rsidRPr="008270BA">
              <w:rPr>
                <w:w w:val="90"/>
                <w:sz w:val="24"/>
              </w:rPr>
              <w:t>39 (86.7%)</w:t>
            </w:r>
          </w:p>
        </w:tc>
        <w:tc>
          <w:tcPr>
            <w:tcW w:w="1700" w:type="dxa"/>
            <w:vMerge/>
            <w:tcBorders>
              <w:top w:val="nil"/>
            </w:tcBorders>
          </w:tcPr>
          <w:p w14:paraId="45F92342" w14:textId="77777777" w:rsidR="00A36BA5" w:rsidRPr="008270BA" w:rsidRDefault="00A36BA5">
            <w:pPr>
              <w:rPr>
                <w:w w:val="90"/>
                <w:sz w:val="2"/>
                <w:szCs w:val="2"/>
              </w:rPr>
            </w:pPr>
          </w:p>
        </w:tc>
        <w:tc>
          <w:tcPr>
            <w:tcW w:w="1720" w:type="dxa"/>
          </w:tcPr>
          <w:p w14:paraId="01CA6BD4" w14:textId="77777777" w:rsidR="00A36BA5" w:rsidRPr="008270BA" w:rsidRDefault="008270BA">
            <w:pPr>
              <w:pStyle w:val="TableParagraph"/>
              <w:ind w:left="589"/>
              <w:rPr>
                <w:w w:val="90"/>
                <w:sz w:val="24"/>
              </w:rPr>
            </w:pPr>
            <w:r w:rsidRPr="008270BA">
              <w:rPr>
                <w:w w:val="90"/>
                <w:sz w:val="24"/>
              </w:rPr>
              <w:t>1,580</w:t>
            </w:r>
          </w:p>
        </w:tc>
      </w:tr>
      <w:tr w:rsidR="00A36BA5" w:rsidRPr="008270BA" w14:paraId="1EA17910" w14:textId="77777777">
        <w:trPr>
          <w:trHeight w:val="440"/>
        </w:trPr>
        <w:tc>
          <w:tcPr>
            <w:tcW w:w="3120" w:type="dxa"/>
          </w:tcPr>
          <w:p w14:paraId="41F5EF18" w14:textId="77777777" w:rsidR="00A36BA5" w:rsidRPr="008270BA" w:rsidRDefault="008270BA">
            <w:pPr>
              <w:pStyle w:val="TableParagraph"/>
              <w:ind w:left="137"/>
              <w:rPr>
                <w:w w:val="90"/>
                <w:sz w:val="24"/>
              </w:rPr>
            </w:pPr>
            <w:r w:rsidRPr="008270BA">
              <w:rPr>
                <w:w w:val="90"/>
                <w:sz w:val="24"/>
              </w:rPr>
              <w:t>MSM blancos</w:t>
            </w:r>
          </w:p>
        </w:tc>
        <w:tc>
          <w:tcPr>
            <w:tcW w:w="1520" w:type="dxa"/>
          </w:tcPr>
          <w:p w14:paraId="12E24A5B" w14:textId="77777777" w:rsidR="00A36BA5" w:rsidRPr="008270BA" w:rsidRDefault="008270BA">
            <w:pPr>
              <w:pStyle w:val="TableParagraph"/>
              <w:ind w:left="118" w:right="53"/>
              <w:jc w:val="center"/>
              <w:rPr>
                <w:w w:val="90"/>
                <w:sz w:val="24"/>
              </w:rPr>
            </w:pPr>
            <w:r w:rsidRPr="008270BA">
              <w:rPr>
                <w:w w:val="90"/>
                <w:sz w:val="24"/>
              </w:rPr>
              <w:t>24</w:t>
            </w:r>
          </w:p>
        </w:tc>
        <w:tc>
          <w:tcPr>
            <w:tcW w:w="1520" w:type="dxa"/>
          </w:tcPr>
          <w:p w14:paraId="0E4B4859" w14:textId="77777777" w:rsidR="00A36BA5" w:rsidRPr="008270BA" w:rsidRDefault="008270BA">
            <w:pPr>
              <w:pStyle w:val="TableParagraph"/>
              <w:ind w:right="136"/>
              <w:jc w:val="right"/>
              <w:rPr>
                <w:w w:val="90"/>
                <w:sz w:val="24"/>
              </w:rPr>
            </w:pPr>
            <w:r w:rsidRPr="008270BA">
              <w:rPr>
                <w:w w:val="90"/>
                <w:sz w:val="24"/>
              </w:rPr>
              <w:t>21 (93.9%)</w:t>
            </w:r>
          </w:p>
        </w:tc>
        <w:tc>
          <w:tcPr>
            <w:tcW w:w="1700" w:type="dxa"/>
            <w:vMerge/>
            <w:tcBorders>
              <w:top w:val="nil"/>
            </w:tcBorders>
          </w:tcPr>
          <w:p w14:paraId="79233627" w14:textId="77777777" w:rsidR="00A36BA5" w:rsidRPr="008270BA" w:rsidRDefault="00A36BA5">
            <w:pPr>
              <w:rPr>
                <w:w w:val="90"/>
                <w:sz w:val="2"/>
                <w:szCs w:val="2"/>
              </w:rPr>
            </w:pPr>
          </w:p>
        </w:tc>
        <w:tc>
          <w:tcPr>
            <w:tcW w:w="1720" w:type="dxa"/>
          </w:tcPr>
          <w:p w14:paraId="56E15C5E" w14:textId="77777777" w:rsidR="00A36BA5" w:rsidRPr="008270BA" w:rsidRDefault="008270BA">
            <w:pPr>
              <w:pStyle w:val="TableParagraph"/>
              <w:ind w:left="302" w:right="222"/>
              <w:jc w:val="center"/>
              <w:rPr>
                <w:w w:val="90"/>
                <w:sz w:val="24"/>
              </w:rPr>
            </w:pPr>
            <w:r w:rsidRPr="008270BA">
              <w:rPr>
                <w:w w:val="90"/>
                <w:sz w:val="24"/>
              </w:rPr>
              <w:t>850</w:t>
            </w:r>
          </w:p>
        </w:tc>
      </w:tr>
      <w:tr w:rsidR="00A36BA5" w:rsidRPr="008270BA" w14:paraId="6FD1E252" w14:textId="77777777">
        <w:trPr>
          <w:trHeight w:val="560"/>
        </w:trPr>
        <w:tc>
          <w:tcPr>
            <w:tcW w:w="3120" w:type="dxa"/>
          </w:tcPr>
          <w:p w14:paraId="33AE1868" w14:textId="77777777" w:rsidR="00A36BA5" w:rsidRPr="008270BA" w:rsidRDefault="008270BA">
            <w:pPr>
              <w:pStyle w:val="TableParagraph"/>
              <w:spacing w:before="0" w:line="251" w:lineRule="exact"/>
              <w:ind w:left="137"/>
              <w:rPr>
                <w:w w:val="90"/>
                <w:sz w:val="24"/>
              </w:rPr>
            </w:pPr>
            <w:r w:rsidRPr="008270BA">
              <w:rPr>
                <w:w w:val="90"/>
                <w:sz w:val="24"/>
              </w:rPr>
              <w:t>Multirracial no hispanos</w:t>
            </w:r>
          </w:p>
          <w:p w14:paraId="38EB0D19" w14:textId="77777777" w:rsidR="00A36BA5" w:rsidRPr="008270BA" w:rsidRDefault="008270BA">
            <w:pPr>
              <w:pStyle w:val="TableParagraph"/>
              <w:spacing w:before="4"/>
              <w:ind w:left="137"/>
              <w:rPr>
                <w:w w:val="90"/>
                <w:sz w:val="24"/>
              </w:rPr>
            </w:pPr>
            <w:r w:rsidRPr="008270BA">
              <w:rPr>
                <w:w w:val="90"/>
                <w:sz w:val="24"/>
              </w:rPr>
              <w:t>MSM</w:t>
            </w:r>
          </w:p>
        </w:tc>
        <w:tc>
          <w:tcPr>
            <w:tcW w:w="1520" w:type="dxa"/>
          </w:tcPr>
          <w:p w14:paraId="2C623E37" w14:textId="77777777" w:rsidR="00A36BA5" w:rsidRPr="008270BA" w:rsidRDefault="008270BA">
            <w:pPr>
              <w:pStyle w:val="TableParagraph"/>
              <w:spacing w:before="115"/>
              <w:ind w:left="118" w:right="51"/>
              <w:jc w:val="center"/>
              <w:rPr>
                <w:w w:val="90"/>
                <w:sz w:val="24"/>
              </w:rPr>
            </w:pPr>
            <w:r w:rsidRPr="008270BA">
              <w:rPr>
                <w:w w:val="90"/>
                <w:sz w:val="24"/>
              </w:rPr>
              <w:t>&lt;6</w:t>
            </w:r>
          </w:p>
        </w:tc>
        <w:tc>
          <w:tcPr>
            <w:tcW w:w="1520" w:type="dxa"/>
          </w:tcPr>
          <w:p w14:paraId="4FF99E6B" w14:textId="77777777" w:rsidR="00A36BA5" w:rsidRPr="008270BA" w:rsidRDefault="008270BA">
            <w:pPr>
              <w:pStyle w:val="TableParagraph"/>
              <w:spacing w:before="115"/>
              <w:ind w:right="82"/>
              <w:jc w:val="right"/>
              <w:rPr>
                <w:w w:val="90"/>
                <w:sz w:val="24"/>
              </w:rPr>
            </w:pPr>
            <w:r w:rsidRPr="008270BA">
              <w:rPr>
                <w:w w:val="90"/>
                <w:sz w:val="24"/>
              </w:rPr>
              <w:t>&lt;6 (87.5.0% )</w:t>
            </w:r>
          </w:p>
        </w:tc>
        <w:tc>
          <w:tcPr>
            <w:tcW w:w="1700" w:type="dxa"/>
            <w:vMerge/>
            <w:tcBorders>
              <w:top w:val="nil"/>
            </w:tcBorders>
          </w:tcPr>
          <w:p w14:paraId="363F51ED" w14:textId="77777777" w:rsidR="00A36BA5" w:rsidRPr="008270BA" w:rsidRDefault="00A36BA5">
            <w:pPr>
              <w:rPr>
                <w:w w:val="90"/>
                <w:sz w:val="2"/>
                <w:szCs w:val="2"/>
              </w:rPr>
            </w:pPr>
          </w:p>
        </w:tc>
        <w:tc>
          <w:tcPr>
            <w:tcW w:w="1720" w:type="dxa"/>
          </w:tcPr>
          <w:p w14:paraId="3636CFE2" w14:textId="77777777" w:rsidR="00A36BA5" w:rsidRPr="008270BA" w:rsidRDefault="008270BA">
            <w:pPr>
              <w:pStyle w:val="TableParagraph"/>
              <w:spacing w:before="115"/>
              <w:ind w:left="302" w:right="222"/>
              <w:jc w:val="center"/>
              <w:rPr>
                <w:w w:val="90"/>
                <w:sz w:val="24"/>
              </w:rPr>
            </w:pPr>
            <w:r w:rsidRPr="008270BA">
              <w:rPr>
                <w:w w:val="90"/>
                <w:sz w:val="24"/>
              </w:rPr>
              <w:t>N/A</w:t>
            </w:r>
          </w:p>
        </w:tc>
      </w:tr>
      <w:tr w:rsidR="00A36BA5" w:rsidRPr="008270BA" w14:paraId="7DBD2F41" w14:textId="77777777">
        <w:trPr>
          <w:trHeight w:val="420"/>
        </w:trPr>
        <w:tc>
          <w:tcPr>
            <w:tcW w:w="3120" w:type="dxa"/>
          </w:tcPr>
          <w:p w14:paraId="61E46018" w14:textId="77777777" w:rsidR="00A36BA5" w:rsidRPr="008270BA" w:rsidRDefault="008270BA">
            <w:pPr>
              <w:pStyle w:val="TableParagraph"/>
              <w:ind w:left="137"/>
              <w:rPr>
                <w:w w:val="90"/>
                <w:sz w:val="24"/>
              </w:rPr>
            </w:pPr>
            <w:r w:rsidRPr="008270BA">
              <w:rPr>
                <w:w w:val="90"/>
                <w:sz w:val="24"/>
              </w:rPr>
              <w:t xml:space="preserve">MSM asiático/isleño del Pacífico </w:t>
            </w:r>
          </w:p>
        </w:tc>
        <w:tc>
          <w:tcPr>
            <w:tcW w:w="1520" w:type="dxa"/>
          </w:tcPr>
          <w:p w14:paraId="11475FC0" w14:textId="77777777" w:rsidR="00A36BA5" w:rsidRPr="008270BA" w:rsidRDefault="008270BA">
            <w:pPr>
              <w:pStyle w:val="TableParagraph"/>
              <w:ind w:left="118" w:right="56"/>
              <w:jc w:val="center"/>
              <w:rPr>
                <w:w w:val="90"/>
                <w:sz w:val="24"/>
              </w:rPr>
            </w:pPr>
            <w:r w:rsidRPr="008270BA">
              <w:rPr>
                <w:w w:val="90"/>
                <w:sz w:val="24"/>
              </w:rPr>
              <w:t>&lt;6</w:t>
            </w:r>
          </w:p>
        </w:tc>
        <w:tc>
          <w:tcPr>
            <w:tcW w:w="1520" w:type="dxa"/>
          </w:tcPr>
          <w:p w14:paraId="7A30F2DB" w14:textId="77777777" w:rsidR="00A36BA5" w:rsidRPr="008270BA" w:rsidRDefault="008270BA">
            <w:pPr>
              <w:pStyle w:val="TableParagraph"/>
              <w:ind w:right="133"/>
              <w:jc w:val="right"/>
              <w:rPr>
                <w:w w:val="90"/>
                <w:sz w:val="24"/>
              </w:rPr>
            </w:pPr>
            <w:r w:rsidRPr="008270BA">
              <w:rPr>
                <w:w w:val="90"/>
                <w:sz w:val="24"/>
              </w:rPr>
              <w:t>&lt;6 (66.7%)</w:t>
            </w:r>
          </w:p>
        </w:tc>
        <w:tc>
          <w:tcPr>
            <w:tcW w:w="1700" w:type="dxa"/>
            <w:vMerge/>
            <w:tcBorders>
              <w:top w:val="nil"/>
            </w:tcBorders>
          </w:tcPr>
          <w:p w14:paraId="42E1BEE8" w14:textId="77777777" w:rsidR="00A36BA5" w:rsidRPr="008270BA" w:rsidRDefault="00A36BA5">
            <w:pPr>
              <w:rPr>
                <w:w w:val="90"/>
                <w:sz w:val="2"/>
                <w:szCs w:val="2"/>
              </w:rPr>
            </w:pPr>
          </w:p>
        </w:tc>
        <w:tc>
          <w:tcPr>
            <w:tcW w:w="1720" w:type="dxa"/>
          </w:tcPr>
          <w:p w14:paraId="6965B427" w14:textId="77777777" w:rsidR="00A36BA5" w:rsidRPr="008270BA" w:rsidRDefault="008270BA">
            <w:pPr>
              <w:pStyle w:val="TableParagraph"/>
              <w:ind w:left="302" w:right="222"/>
              <w:jc w:val="center"/>
              <w:rPr>
                <w:w w:val="90"/>
                <w:sz w:val="24"/>
              </w:rPr>
            </w:pPr>
            <w:r w:rsidRPr="008270BA">
              <w:rPr>
                <w:w w:val="90"/>
                <w:sz w:val="24"/>
              </w:rPr>
              <w:t>N/A</w:t>
            </w:r>
          </w:p>
        </w:tc>
      </w:tr>
      <w:tr w:rsidR="00A36BA5" w:rsidRPr="008270BA" w14:paraId="292799DD" w14:textId="77777777">
        <w:trPr>
          <w:trHeight w:val="420"/>
        </w:trPr>
        <w:tc>
          <w:tcPr>
            <w:tcW w:w="3120" w:type="dxa"/>
          </w:tcPr>
          <w:p w14:paraId="5DCAD0D0" w14:textId="77777777" w:rsidR="00A36BA5" w:rsidRPr="008270BA" w:rsidRDefault="008270BA">
            <w:pPr>
              <w:pStyle w:val="TableParagraph"/>
              <w:ind w:left="137"/>
              <w:rPr>
                <w:w w:val="90"/>
                <w:sz w:val="24"/>
              </w:rPr>
            </w:pPr>
            <w:r w:rsidRPr="008270BA">
              <w:rPr>
                <w:w w:val="90"/>
                <w:sz w:val="24"/>
              </w:rPr>
              <w:t>MSM amerindio</w:t>
            </w:r>
          </w:p>
        </w:tc>
        <w:tc>
          <w:tcPr>
            <w:tcW w:w="1520" w:type="dxa"/>
          </w:tcPr>
          <w:p w14:paraId="48B9B3AC" w14:textId="77777777" w:rsidR="00A36BA5" w:rsidRPr="008270BA" w:rsidRDefault="008270BA">
            <w:pPr>
              <w:pStyle w:val="TableParagraph"/>
              <w:ind w:left="118" w:right="51"/>
              <w:jc w:val="center"/>
              <w:rPr>
                <w:w w:val="90"/>
                <w:sz w:val="24"/>
              </w:rPr>
            </w:pPr>
            <w:r w:rsidRPr="008270BA">
              <w:rPr>
                <w:w w:val="90"/>
                <w:sz w:val="24"/>
              </w:rPr>
              <w:t>&lt;6</w:t>
            </w:r>
          </w:p>
        </w:tc>
        <w:tc>
          <w:tcPr>
            <w:tcW w:w="1520" w:type="dxa"/>
          </w:tcPr>
          <w:p w14:paraId="172EADD8" w14:textId="77777777" w:rsidR="00A36BA5" w:rsidRPr="008270BA" w:rsidRDefault="008270BA">
            <w:pPr>
              <w:pStyle w:val="TableParagraph"/>
              <w:ind w:right="106"/>
              <w:jc w:val="right"/>
              <w:rPr>
                <w:w w:val="90"/>
                <w:sz w:val="24"/>
              </w:rPr>
            </w:pPr>
            <w:r w:rsidRPr="008270BA">
              <w:rPr>
                <w:w w:val="90"/>
                <w:sz w:val="24"/>
              </w:rPr>
              <w:t>N/A (100%)</w:t>
            </w:r>
          </w:p>
        </w:tc>
        <w:tc>
          <w:tcPr>
            <w:tcW w:w="1700" w:type="dxa"/>
            <w:vMerge/>
            <w:tcBorders>
              <w:top w:val="nil"/>
            </w:tcBorders>
          </w:tcPr>
          <w:p w14:paraId="74D00192" w14:textId="77777777" w:rsidR="00A36BA5" w:rsidRPr="008270BA" w:rsidRDefault="00A36BA5">
            <w:pPr>
              <w:rPr>
                <w:w w:val="90"/>
                <w:sz w:val="2"/>
                <w:szCs w:val="2"/>
              </w:rPr>
            </w:pPr>
          </w:p>
        </w:tc>
        <w:tc>
          <w:tcPr>
            <w:tcW w:w="1720" w:type="dxa"/>
          </w:tcPr>
          <w:p w14:paraId="6AD93087" w14:textId="77777777" w:rsidR="00A36BA5" w:rsidRPr="008270BA" w:rsidRDefault="008270BA">
            <w:pPr>
              <w:pStyle w:val="TableParagraph"/>
              <w:ind w:left="302" w:right="222"/>
              <w:jc w:val="center"/>
              <w:rPr>
                <w:w w:val="90"/>
                <w:sz w:val="24"/>
              </w:rPr>
            </w:pPr>
            <w:r w:rsidRPr="008270BA">
              <w:rPr>
                <w:w w:val="90"/>
                <w:sz w:val="24"/>
              </w:rPr>
              <w:t>N/A</w:t>
            </w:r>
          </w:p>
        </w:tc>
      </w:tr>
      <w:tr w:rsidR="00A36BA5" w:rsidRPr="008270BA" w14:paraId="2BC786D5" w14:textId="77777777">
        <w:trPr>
          <w:trHeight w:val="440"/>
        </w:trPr>
        <w:tc>
          <w:tcPr>
            <w:tcW w:w="3120" w:type="dxa"/>
            <w:shd w:val="clear" w:color="auto" w:fill="D9D9D9"/>
          </w:tcPr>
          <w:p w14:paraId="6F467FA2" w14:textId="77777777" w:rsidR="00A36BA5" w:rsidRPr="008270BA" w:rsidRDefault="008270BA">
            <w:pPr>
              <w:pStyle w:val="TableParagraph"/>
              <w:ind w:left="137"/>
              <w:rPr>
                <w:b/>
                <w:w w:val="90"/>
                <w:sz w:val="24"/>
              </w:rPr>
            </w:pPr>
            <w:r w:rsidRPr="008270BA">
              <w:rPr>
                <w:b/>
                <w:w w:val="90"/>
                <w:sz w:val="24"/>
              </w:rPr>
              <w:t>Transgénero</w:t>
            </w:r>
          </w:p>
        </w:tc>
        <w:tc>
          <w:tcPr>
            <w:tcW w:w="6460" w:type="dxa"/>
            <w:gridSpan w:val="4"/>
            <w:shd w:val="clear" w:color="auto" w:fill="D9D9D9"/>
          </w:tcPr>
          <w:p w14:paraId="7E9B6D92" w14:textId="77777777" w:rsidR="00A36BA5" w:rsidRPr="008270BA" w:rsidRDefault="00A36BA5">
            <w:pPr>
              <w:pStyle w:val="TableParagraph"/>
              <w:spacing w:before="0"/>
              <w:rPr>
                <w:rFonts w:ascii="Times New Roman"/>
                <w:w w:val="90"/>
              </w:rPr>
            </w:pPr>
          </w:p>
        </w:tc>
      </w:tr>
      <w:tr w:rsidR="00A36BA5" w:rsidRPr="008270BA" w14:paraId="7DDAB527" w14:textId="77777777">
        <w:trPr>
          <w:trHeight w:val="420"/>
        </w:trPr>
        <w:tc>
          <w:tcPr>
            <w:tcW w:w="3120" w:type="dxa"/>
          </w:tcPr>
          <w:p w14:paraId="208C588C" w14:textId="77777777" w:rsidR="00A36BA5" w:rsidRPr="008270BA" w:rsidRDefault="008270BA">
            <w:pPr>
              <w:pStyle w:val="TableParagraph"/>
              <w:spacing w:before="35"/>
              <w:ind w:left="137"/>
              <w:rPr>
                <w:w w:val="90"/>
                <w:sz w:val="24"/>
              </w:rPr>
            </w:pPr>
            <w:r w:rsidRPr="008270BA">
              <w:rPr>
                <w:w w:val="90"/>
                <w:sz w:val="24"/>
              </w:rPr>
              <w:t>Transgénero</w:t>
            </w:r>
          </w:p>
        </w:tc>
        <w:tc>
          <w:tcPr>
            <w:tcW w:w="1520" w:type="dxa"/>
          </w:tcPr>
          <w:p w14:paraId="432DAB0E" w14:textId="77777777" w:rsidR="00A36BA5" w:rsidRPr="008270BA" w:rsidRDefault="008270BA">
            <w:pPr>
              <w:pStyle w:val="TableParagraph"/>
              <w:spacing w:before="35"/>
              <w:ind w:left="118" w:right="57"/>
              <w:jc w:val="center"/>
              <w:rPr>
                <w:w w:val="90"/>
                <w:sz w:val="24"/>
              </w:rPr>
            </w:pPr>
            <w:r w:rsidRPr="008270BA">
              <w:rPr>
                <w:w w:val="90"/>
                <w:sz w:val="24"/>
              </w:rPr>
              <w:t>10</w:t>
            </w:r>
          </w:p>
        </w:tc>
        <w:tc>
          <w:tcPr>
            <w:tcW w:w="1520" w:type="dxa"/>
          </w:tcPr>
          <w:p w14:paraId="4A081AC4" w14:textId="77777777" w:rsidR="00A36BA5" w:rsidRPr="008270BA" w:rsidRDefault="008270BA">
            <w:pPr>
              <w:pStyle w:val="TableParagraph"/>
              <w:spacing w:before="0" w:line="251" w:lineRule="exact"/>
              <w:ind w:left="277"/>
              <w:rPr>
                <w:w w:val="90"/>
                <w:sz w:val="24"/>
              </w:rPr>
            </w:pPr>
            <w:r w:rsidRPr="008270BA">
              <w:rPr>
                <w:w w:val="90"/>
                <w:sz w:val="24"/>
              </w:rPr>
              <w:t>9 (90.0% )</w:t>
            </w:r>
          </w:p>
        </w:tc>
        <w:tc>
          <w:tcPr>
            <w:tcW w:w="1700" w:type="dxa"/>
          </w:tcPr>
          <w:p w14:paraId="33F7B383" w14:textId="77777777" w:rsidR="00A36BA5" w:rsidRPr="008270BA" w:rsidRDefault="008270BA">
            <w:pPr>
              <w:pStyle w:val="TableParagraph"/>
              <w:spacing w:before="0" w:line="251" w:lineRule="exact"/>
              <w:ind w:left="129" w:right="88"/>
              <w:jc w:val="center"/>
              <w:rPr>
                <w:w w:val="90"/>
                <w:sz w:val="24"/>
              </w:rPr>
            </w:pPr>
            <w:r w:rsidRPr="008270BA">
              <w:rPr>
                <w:w w:val="90"/>
                <w:sz w:val="24"/>
              </w:rPr>
              <w:t>N/A</w:t>
            </w:r>
          </w:p>
        </w:tc>
        <w:tc>
          <w:tcPr>
            <w:tcW w:w="1720" w:type="dxa"/>
            <w:shd w:val="clear" w:color="auto" w:fill="D9D9D9"/>
          </w:tcPr>
          <w:p w14:paraId="40AE680E" w14:textId="77777777" w:rsidR="00A36BA5" w:rsidRPr="008270BA" w:rsidRDefault="00A36BA5">
            <w:pPr>
              <w:pStyle w:val="TableParagraph"/>
              <w:spacing w:before="0"/>
              <w:rPr>
                <w:rFonts w:ascii="Times New Roman"/>
                <w:w w:val="90"/>
              </w:rPr>
            </w:pPr>
          </w:p>
        </w:tc>
      </w:tr>
      <w:tr w:rsidR="00A36BA5" w:rsidRPr="008270BA" w14:paraId="0F377074" w14:textId="77777777">
        <w:trPr>
          <w:trHeight w:val="420"/>
        </w:trPr>
        <w:tc>
          <w:tcPr>
            <w:tcW w:w="9580" w:type="dxa"/>
            <w:gridSpan w:val="5"/>
            <w:shd w:val="clear" w:color="auto" w:fill="D9D9D9"/>
          </w:tcPr>
          <w:p w14:paraId="4A6491BA" w14:textId="77777777" w:rsidR="00A36BA5" w:rsidRPr="008270BA" w:rsidRDefault="008270BA">
            <w:pPr>
              <w:pStyle w:val="TableParagraph"/>
              <w:spacing w:before="35"/>
              <w:ind w:left="137"/>
              <w:rPr>
                <w:b/>
                <w:w w:val="90"/>
                <w:sz w:val="24"/>
              </w:rPr>
            </w:pPr>
            <w:r w:rsidRPr="008270BA">
              <w:rPr>
                <w:b/>
                <w:w w:val="90"/>
                <w:sz w:val="24"/>
              </w:rPr>
              <w:t>Contacto heterosexual</w:t>
            </w:r>
          </w:p>
        </w:tc>
      </w:tr>
      <w:tr w:rsidR="00A36BA5" w:rsidRPr="008270BA" w14:paraId="78C13ED2" w14:textId="77777777">
        <w:trPr>
          <w:trHeight w:val="420"/>
        </w:trPr>
        <w:tc>
          <w:tcPr>
            <w:tcW w:w="7860" w:type="dxa"/>
            <w:gridSpan w:val="4"/>
          </w:tcPr>
          <w:p w14:paraId="5CE1CA7C" w14:textId="77777777" w:rsidR="00A36BA5" w:rsidRPr="008270BA" w:rsidRDefault="008270BA">
            <w:pPr>
              <w:pStyle w:val="TableParagraph"/>
              <w:spacing w:before="53"/>
              <w:ind w:left="137"/>
              <w:rPr>
                <w:i/>
                <w:w w:val="90"/>
              </w:rPr>
            </w:pPr>
            <w:r w:rsidRPr="008270BA">
              <w:rPr>
                <w:i/>
                <w:w w:val="90"/>
              </w:rPr>
              <w:t>Masculino (Sexo de nacimiento)</w:t>
            </w:r>
          </w:p>
        </w:tc>
        <w:tc>
          <w:tcPr>
            <w:tcW w:w="1720" w:type="dxa"/>
          </w:tcPr>
          <w:p w14:paraId="5D21E7AA" w14:textId="77777777" w:rsidR="00A36BA5" w:rsidRPr="008270BA" w:rsidRDefault="008270BA">
            <w:pPr>
              <w:pStyle w:val="TableParagraph"/>
              <w:spacing w:before="35"/>
              <w:ind w:left="621"/>
              <w:rPr>
                <w:w w:val="90"/>
                <w:sz w:val="24"/>
              </w:rPr>
            </w:pPr>
            <w:r w:rsidRPr="008270BA">
              <w:rPr>
                <w:w w:val="90"/>
                <w:sz w:val="24"/>
              </w:rPr>
              <w:t>387</w:t>
            </w:r>
          </w:p>
        </w:tc>
      </w:tr>
      <w:tr w:rsidR="00A36BA5" w:rsidRPr="008270BA" w14:paraId="6C536649" w14:textId="77777777">
        <w:trPr>
          <w:trHeight w:val="420"/>
        </w:trPr>
        <w:tc>
          <w:tcPr>
            <w:tcW w:w="3120" w:type="dxa"/>
          </w:tcPr>
          <w:p w14:paraId="2893E4DE" w14:textId="77777777" w:rsidR="00A36BA5" w:rsidRPr="008270BA" w:rsidRDefault="008270BA">
            <w:pPr>
              <w:pStyle w:val="TableParagraph"/>
              <w:spacing w:before="35"/>
              <w:ind w:left="137"/>
              <w:rPr>
                <w:w w:val="90"/>
                <w:sz w:val="24"/>
              </w:rPr>
            </w:pPr>
            <w:r w:rsidRPr="008270BA">
              <w:rPr>
                <w:w w:val="90"/>
                <w:sz w:val="24"/>
              </w:rPr>
              <w:t>Negros</w:t>
            </w:r>
          </w:p>
        </w:tc>
        <w:tc>
          <w:tcPr>
            <w:tcW w:w="1520" w:type="dxa"/>
          </w:tcPr>
          <w:p w14:paraId="4CBFE5C0" w14:textId="77777777" w:rsidR="00A36BA5" w:rsidRPr="008270BA" w:rsidRDefault="008270BA">
            <w:pPr>
              <w:pStyle w:val="TableParagraph"/>
              <w:spacing w:before="35"/>
              <w:ind w:left="61"/>
              <w:jc w:val="center"/>
              <w:rPr>
                <w:w w:val="90"/>
                <w:sz w:val="24"/>
              </w:rPr>
            </w:pPr>
            <w:r w:rsidRPr="008270BA">
              <w:rPr>
                <w:w w:val="90"/>
                <w:sz w:val="24"/>
              </w:rPr>
              <w:t>9</w:t>
            </w:r>
          </w:p>
        </w:tc>
        <w:tc>
          <w:tcPr>
            <w:tcW w:w="1520" w:type="dxa"/>
          </w:tcPr>
          <w:p w14:paraId="78DDCD10" w14:textId="77777777" w:rsidR="00A36BA5" w:rsidRPr="008270BA" w:rsidRDefault="008270BA">
            <w:pPr>
              <w:pStyle w:val="TableParagraph"/>
              <w:spacing w:before="35"/>
              <w:ind w:right="135"/>
              <w:jc w:val="right"/>
              <w:rPr>
                <w:w w:val="90"/>
                <w:sz w:val="24"/>
              </w:rPr>
            </w:pPr>
            <w:r w:rsidRPr="008270BA">
              <w:rPr>
                <w:w w:val="90"/>
                <w:sz w:val="24"/>
              </w:rPr>
              <w:t>&lt;6 (55.6%)</w:t>
            </w:r>
          </w:p>
        </w:tc>
        <w:tc>
          <w:tcPr>
            <w:tcW w:w="1700" w:type="dxa"/>
            <w:vMerge w:val="restart"/>
          </w:tcPr>
          <w:p w14:paraId="7010E89A" w14:textId="77777777" w:rsidR="00A36BA5" w:rsidRPr="008270BA" w:rsidRDefault="00A36BA5">
            <w:pPr>
              <w:pStyle w:val="TableParagraph"/>
              <w:spacing w:before="0"/>
              <w:rPr>
                <w:w w:val="90"/>
                <w:sz w:val="26"/>
              </w:rPr>
            </w:pPr>
          </w:p>
          <w:p w14:paraId="53B85DA5" w14:textId="77777777" w:rsidR="00A36BA5" w:rsidRPr="008270BA" w:rsidRDefault="00A36BA5">
            <w:pPr>
              <w:pStyle w:val="TableParagraph"/>
              <w:spacing w:before="0"/>
              <w:rPr>
                <w:w w:val="90"/>
                <w:sz w:val="26"/>
              </w:rPr>
            </w:pPr>
          </w:p>
          <w:p w14:paraId="62ED6CF7" w14:textId="77777777" w:rsidR="00A36BA5" w:rsidRPr="008270BA" w:rsidRDefault="008270BA">
            <w:pPr>
              <w:pStyle w:val="TableParagraph"/>
              <w:spacing w:before="197"/>
              <w:ind w:left="353"/>
              <w:rPr>
                <w:w w:val="90"/>
                <w:sz w:val="24"/>
              </w:rPr>
            </w:pPr>
            <w:r w:rsidRPr="008270BA">
              <w:rPr>
                <w:w w:val="90"/>
                <w:sz w:val="24"/>
              </w:rPr>
              <w:t>280 (12.1%)</w:t>
            </w:r>
          </w:p>
        </w:tc>
        <w:tc>
          <w:tcPr>
            <w:tcW w:w="1720" w:type="dxa"/>
            <w:vMerge w:val="restart"/>
            <w:shd w:val="clear" w:color="auto" w:fill="D9D9D9"/>
          </w:tcPr>
          <w:p w14:paraId="497A1A65" w14:textId="6530D798" w:rsidR="00A36BA5" w:rsidRPr="008270BA" w:rsidRDefault="00A36BA5">
            <w:pPr>
              <w:pStyle w:val="TableParagraph"/>
              <w:spacing w:before="0"/>
              <w:rPr>
                <w:rFonts w:ascii="Times New Roman"/>
                <w:w w:val="90"/>
              </w:rPr>
            </w:pPr>
          </w:p>
        </w:tc>
      </w:tr>
      <w:tr w:rsidR="00A36BA5" w:rsidRPr="008270BA" w14:paraId="7384C289" w14:textId="77777777">
        <w:trPr>
          <w:trHeight w:val="420"/>
        </w:trPr>
        <w:tc>
          <w:tcPr>
            <w:tcW w:w="3120" w:type="dxa"/>
          </w:tcPr>
          <w:p w14:paraId="5687F74E" w14:textId="77777777" w:rsidR="00A36BA5" w:rsidRPr="008270BA" w:rsidRDefault="008270BA">
            <w:pPr>
              <w:pStyle w:val="TableParagraph"/>
              <w:spacing w:before="35"/>
              <w:ind w:left="137"/>
              <w:rPr>
                <w:w w:val="90"/>
                <w:sz w:val="24"/>
              </w:rPr>
            </w:pPr>
            <w:r w:rsidRPr="008270BA">
              <w:rPr>
                <w:w w:val="90"/>
                <w:sz w:val="24"/>
              </w:rPr>
              <w:t>Hispanos/Latinos</w:t>
            </w:r>
          </w:p>
        </w:tc>
        <w:tc>
          <w:tcPr>
            <w:tcW w:w="1520" w:type="dxa"/>
          </w:tcPr>
          <w:p w14:paraId="39273DAF" w14:textId="77777777" w:rsidR="00A36BA5" w:rsidRPr="008270BA" w:rsidRDefault="008270BA">
            <w:pPr>
              <w:pStyle w:val="TableParagraph"/>
              <w:spacing w:before="35"/>
              <w:ind w:left="118" w:right="51"/>
              <w:jc w:val="center"/>
              <w:rPr>
                <w:w w:val="90"/>
                <w:sz w:val="24"/>
              </w:rPr>
            </w:pPr>
            <w:r w:rsidRPr="008270BA">
              <w:rPr>
                <w:w w:val="90"/>
                <w:sz w:val="24"/>
              </w:rPr>
              <w:t>&lt;6</w:t>
            </w:r>
          </w:p>
        </w:tc>
        <w:tc>
          <w:tcPr>
            <w:tcW w:w="1520" w:type="dxa"/>
          </w:tcPr>
          <w:p w14:paraId="31762DF4" w14:textId="77777777" w:rsidR="00A36BA5" w:rsidRPr="008270BA" w:rsidRDefault="008270BA">
            <w:pPr>
              <w:pStyle w:val="TableParagraph"/>
              <w:spacing w:before="35"/>
              <w:ind w:right="108"/>
              <w:jc w:val="right"/>
              <w:rPr>
                <w:w w:val="90"/>
                <w:sz w:val="24"/>
              </w:rPr>
            </w:pPr>
            <w:r w:rsidRPr="008270BA">
              <w:rPr>
                <w:w w:val="90"/>
                <w:sz w:val="24"/>
              </w:rPr>
              <w:t>&lt;6 (100.0%)</w:t>
            </w:r>
          </w:p>
        </w:tc>
        <w:tc>
          <w:tcPr>
            <w:tcW w:w="1700" w:type="dxa"/>
            <w:vMerge/>
            <w:tcBorders>
              <w:top w:val="nil"/>
            </w:tcBorders>
          </w:tcPr>
          <w:p w14:paraId="1DCDB924" w14:textId="77777777" w:rsidR="00A36BA5" w:rsidRPr="008270BA" w:rsidRDefault="00A36BA5">
            <w:pPr>
              <w:rPr>
                <w:w w:val="90"/>
                <w:sz w:val="2"/>
                <w:szCs w:val="2"/>
              </w:rPr>
            </w:pPr>
          </w:p>
        </w:tc>
        <w:tc>
          <w:tcPr>
            <w:tcW w:w="1720" w:type="dxa"/>
            <w:vMerge/>
            <w:tcBorders>
              <w:top w:val="nil"/>
            </w:tcBorders>
            <w:shd w:val="clear" w:color="auto" w:fill="D9D9D9"/>
          </w:tcPr>
          <w:p w14:paraId="78446933" w14:textId="77777777" w:rsidR="00A36BA5" w:rsidRPr="008270BA" w:rsidRDefault="00A36BA5">
            <w:pPr>
              <w:rPr>
                <w:w w:val="90"/>
                <w:sz w:val="2"/>
                <w:szCs w:val="2"/>
              </w:rPr>
            </w:pPr>
          </w:p>
        </w:tc>
      </w:tr>
      <w:tr w:rsidR="00A36BA5" w:rsidRPr="008270BA" w14:paraId="5118B6F4" w14:textId="77777777">
        <w:trPr>
          <w:trHeight w:val="420"/>
        </w:trPr>
        <w:tc>
          <w:tcPr>
            <w:tcW w:w="3120" w:type="dxa"/>
          </w:tcPr>
          <w:p w14:paraId="4727E918" w14:textId="77777777" w:rsidR="00A36BA5" w:rsidRPr="008270BA" w:rsidRDefault="008270BA">
            <w:pPr>
              <w:pStyle w:val="TableParagraph"/>
              <w:spacing w:before="35"/>
              <w:ind w:left="137"/>
              <w:rPr>
                <w:w w:val="90"/>
                <w:sz w:val="24"/>
              </w:rPr>
            </w:pPr>
            <w:r w:rsidRPr="008270BA">
              <w:rPr>
                <w:w w:val="90"/>
                <w:sz w:val="24"/>
              </w:rPr>
              <w:t>Blancos</w:t>
            </w:r>
          </w:p>
        </w:tc>
        <w:tc>
          <w:tcPr>
            <w:tcW w:w="1520" w:type="dxa"/>
          </w:tcPr>
          <w:p w14:paraId="61262A23" w14:textId="77777777" w:rsidR="00A36BA5" w:rsidRPr="008270BA" w:rsidRDefault="008270BA">
            <w:pPr>
              <w:pStyle w:val="TableParagraph"/>
              <w:spacing w:before="35"/>
              <w:ind w:left="118" w:right="51"/>
              <w:jc w:val="center"/>
              <w:rPr>
                <w:w w:val="90"/>
                <w:sz w:val="24"/>
              </w:rPr>
            </w:pPr>
            <w:r w:rsidRPr="008270BA">
              <w:rPr>
                <w:w w:val="90"/>
                <w:sz w:val="24"/>
              </w:rPr>
              <w:t>&lt;6</w:t>
            </w:r>
          </w:p>
        </w:tc>
        <w:tc>
          <w:tcPr>
            <w:tcW w:w="1520" w:type="dxa"/>
          </w:tcPr>
          <w:p w14:paraId="102B7A8D" w14:textId="77777777" w:rsidR="00A36BA5" w:rsidRPr="008270BA" w:rsidRDefault="008270BA">
            <w:pPr>
              <w:pStyle w:val="TableParagraph"/>
              <w:spacing w:before="35"/>
              <w:ind w:right="135"/>
              <w:jc w:val="right"/>
              <w:rPr>
                <w:w w:val="90"/>
                <w:sz w:val="24"/>
              </w:rPr>
            </w:pPr>
            <w:r w:rsidRPr="008270BA">
              <w:rPr>
                <w:w w:val="90"/>
                <w:sz w:val="24"/>
              </w:rPr>
              <w:t>&lt;6 (10.0%)</w:t>
            </w:r>
          </w:p>
        </w:tc>
        <w:tc>
          <w:tcPr>
            <w:tcW w:w="1700" w:type="dxa"/>
            <w:vMerge/>
            <w:tcBorders>
              <w:top w:val="nil"/>
            </w:tcBorders>
          </w:tcPr>
          <w:p w14:paraId="6F093408" w14:textId="77777777" w:rsidR="00A36BA5" w:rsidRPr="008270BA" w:rsidRDefault="00A36BA5">
            <w:pPr>
              <w:rPr>
                <w:w w:val="90"/>
                <w:sz w:val="2"/>
                <w:szCs w:val="2"/>
              </w:rPr>
            </w:pPr>
          </w:p>
        </w:tc>
        <w:tc>
          <w:tcPr>
            <w:tcW w:w="1720" w:type="dxa"/>
            <w:vMerge/>
            <w:tcBorders>
              <w:top w:val="nil"/>
            </w:tcBorders>
            <w:shd w:val="clear" w:color="auto" w:fill="D9D9D9"/>
          </w:tcPr>
          <w:p w14:paraId="4F1E1BAE" w14:textId="77777777" w:rsidR="00A36BA5" w:rsidRPr="008270BA" w:rsidRDefault="00A36BA5">
            <w:pPr>
              <w:rPr>
                <w:w w:val="90"/>
                <w:sz w:val="2"/>
                <w:szCs w:val="2"/>
              </w:rPr>
            </w:pPr>
          </w:p>
        </w:tc>
      </w:tr>
      <w:tr w:rsidR="00A36BA5" w:rsidRPr="008270BA" w14:paraId="0D48CAE3" w14:textId="77777777">
        <w:trPr>
          <w:trHeight w:val="420"/>
        </w:trPr>
        <w:tc>
          <w:tcPr>
            <w:tcW w:w="3120" w:type="dxa"/>
          </w:tcPr>
          <w:p w14:paraId="3C2F9930" w14:textId="77777777" w:rsidR="00A36BA5" w:rsidRPr="008270BA" w:rsidRDefault="008270BA">
            <w:pPr>
              <w:pStyle w:val="TableParagraph"/>
              <w:spacing w:before="35"/>
              <w:ind w:left="137"/>
              <w:rPr>
                <w:w w:val="90"/>
                <w:sz w:val="24"/>
              </w:rPr>
            </w:pPr>
            <w:r w:rsidRPr="008270BA">
              <w:rPr>
                <w:w w:val="90"/>
                <w:sz w:val="24"/>
              </w:rPr>
              <w:t>Multirracial no hispanos</w:t>
            </w:r>
          </w:p>
        </w:tc>
        <w:tc>
          <w:tcPr>
            <w:tcW w:w="1520" w:type="dxa"/>
          </w:tcPr>
          <w:p w14:paraId="0914AB85" w14:textId="77777777" w:rsidR="00A36BA5" w:rsidRPr="008270BA" w:rsidRDefault="008270BA">
            <w:pPr>
              <w:pStyle w:val="TableParagraph"/>
              <w:spacing w:before="35"/>
              <w:ind w:left="66"/>
              <w:jc w:val="center"/>
              <w:rPr>
                <w:w w:val="90"/>
                <w:sz w:val="24"/>
              </w:rPr>
            </w:pPr>
            <w:r w:rsidRPr="008270BA">
              <w:rPr>
                <w:w w:val="90"/>
                <w:sz w:val="24"/>
              </w:rPr>
              <w:t>0</w:t>
            </w:r>
          </w:p>
        </w:tc>
        <w:tc>
          <w:tcPr>
            <w:tcW w:w="1520" w:type="dxa"/>
          </w:tcPr>
          <w:p w14:paraId="7904C210" w14:textId="77777777" w:rsidR="00A36BA5" w:rsidRPr="008270BA" w:rsidRDefault="008270BA">
            <w:pPr>
              <w:pStyle w:val="TableParagraph"/>
              <w:spacing w:before="35"/>
              <w:ind w:left="115" w:right="70"/>
              <w:jc w:val="center"/>
              <w:rPr>
                <w:w w:val="90"/>
                <w:sz w:val="24"/>
              </w:rPr>
            </w:pPr>
            <w:r w:rsidRPr="008270BA">
              <w:rPr>
                <w:w w:val="90"/>
                <w:sz w:val="24"/>
              </w:rPr>
              <w:t>N/A</w:t>
            </w:r>
          </w:p>
        </w:tc>
        <w:tc>
          <w:tcPr>
            <w:tcW w:w="1700" w:type="dxa"/>
            <w:vMerge/>
            <w:tcBorders>
              <w:top w:val="nil"/>
            </w:tcBorders>
          </w:tcPr>
          <w:p w14:paraId="4695DB38" w14:textId="77777777" w:rsidR="00A36BA5" w:rsidRPr="008270BA" w:rsidRDefault="00A36BA5">
            <w:pPr>
              <w:rPr>
                <w:w w:val="90"/>
                <w:sz w:val="2"/>
                <w:szCs w:val="2"/>
              </w:rPr>
            </w:pPr>
          </w:p>
        </w:tc>
        <w:tc>
          <w:tcPr>
            <w:tcW w:w="1720" w:type="dxa"/>
            <w:vMerge/>
            <w:tcBorders>
              <w:top w:val="nil"/>
            </w:tcBorders>
            <w:shd w:val="clear" w:color="auto" w:fill="D9D9D9"/>
          </w:tcPr>
          <w:p w14:paraId="7E07D379" w14:textId="77777777" w:rsidR="00A36BA5" w:rsidRPr="008270BA" w:rsidRDefault="00A36BA5">
            <w:pPr>
              <w:rPr>
                <w:w w:val="90"/>
                <w:sz w:val="2"/>
                <w:szCs w:val="2"/>
              </w:rPr>
            </w:pPr>
          </w:p>
        </w:tc>
      </w:tr>
      <w:tr w:rsidR="00A36BA5" w:rsidRPr="008270BA" w14:paraId="6956C6B0" w14:textId="77777777">
        <w:trPr>
          <w:trHeight w:val="420"/>
        </w:trPr>
        <w:tc>
          <w:tcPr>
            <w:tcW w:w="3120" w:type="dxa"/>
          </w:tcPr>
          <w:p w14:paraId="3C9C18BE" w14:textId="77777777" w:rsidR="00A36BA5" w:rsidRPr="008270BA" w:rsidRDefault="008270BA">
            <w:pPr>
              <w:pStyle w:val="TableParagraph"/>
              <w:spacing w:before="35"/>
              <w:ind w:left="137"/>
              <w:rPr>
                <w:w w:val="90"/>
                <w:sz w:val="24"/>
              </w:rPr>
            </w:pPr>
            <w:r w:rsidRPr="008270BA">
              <w:rPr>
                <w:w w:val="90"/>
                <w:sz w:val="24"/>
              </w:rPr>
              <w:t>Asiático/Isleño del Pacífico</w:t>
            </w:r>
          </w:p>
        </w:tc>
        <w:tc>
          <w:tcPr>
            <w:tcW w:w="1520" w:type="dxa"/>
          </w:tcPr>
          <w:p w14:paraId="4B6E064B" w14:textId="77777777" w:rsidR="00A36BA5" w:rsidRPr="008270BA" w:rsidRDefault="008270BA">
            <w:pPr>
              <w:pStyle w:val="TableParagraph"/>
              <w:spacing w:before="35"/>
              <w:ind w:left="52"/>
              <w:jc w:val="center"/>
              <w:rPr>
                <w:w w:val="90"/>
                <w:sz w:val="24"/>
              </w:rPr>
            </w:pPr>
            <w:r w:rsidRPr="008270BA">
              <w:rPr>
                <w:w w:val="90"/>
                <w:sz w:val="24"/>
              </w:rPr>
              <w:t>0</w:t>
            </w:r>
          </w:p>
        </w:tc>
        <w:tc>
          <w:tcPr>
            <w:tcW w:w="1520" w:type="dxa"/>
          </w:tcPr>
          <w:p w14:paraId="56F439D8" w14:textId="77777777" w:rsidR="00A36BA5" w:rsidRPr="008270BA" w:rsidRDefault="008270BA">
            <w:pPr>
              <w:pStyle w:val="TableParagraph"/>
              <w:spacing w:before="35"/>
              <w:ind w:left="115" w:right="70"/>
              <w:jc w:val="center"/>
              <w:rPr>
                <w:w w:val="90"/>
                <w:sz w:val="24"/>
              </w:rPr>
            </w:pPr>
            <w:r w:rsidRPr="008270BA">
              <w:rPr>
                <w:w w:val="90"/>
                <w:sz w:val="24"/>
              </w:rPr>
              <w:t>N/A</w:t>
            </w:r>
          </w:p>
        </w:tc>
        <w:tc>
          <w:tcPr>
            <w:tcW w:w="1700" w:type="dxa"/>
            <w:vMerge/>
            <w:tcBorders>
              <w:top w:val="nil"/>
            </w:tcBorders>
          </w:tcPr>
          <w:p w14:paraId="725C020F" w14:textId="77777777" w:rsidR="00A36BA5" w:rsidRPr="008270BA" w:rsidRDefault="00A36BA5">
            <w:pPr>
              <w:rPr>
                <w:w w:val="90"/>
                <w:sz w:val="2"/>
                <w:szCs w:val="2"/>
              </w:rPr>
            </w:pPr>
          </w:p>
        </w:tc>
        <w:tc>
          <w:tcPr>
            <w:tcW w:w="1720" w:type="dxa"/>
            <w:vMerge/>
            <w:tcBorders>
              <w:top w:val="nil"/>
            </w:tcBorders>
            <w:shd w:val="clear" w:color="auto" w:fill="D9D9D9"/>
          </w:tcPr>
          <w:p w14:paraId="4EC7FD8C" w14:textId="77777777" w:rsidR="00A36BA5" w:rsidRPr="008270BA" w:rsidRDefault="00A36BA5">
            <w:pPr>
              <w:rPr>
                <w:w w:val="90"/>
                <w:sz w:val="2"/>
                <w:szCs w:val="2"/>
              </w:rPr>
            </w:pPr>
          </w:p>
        </w:tc>
      </w:tr>
      <w:tr w:rsidR="00A36BA5" w:rsidRPr="008270BA" w14:paraId="64BA529F" w14:textId="77777777">
        <w:trPr>
          <w:trHeight w:val="600"/>
        </w:trPr>
        <w:tc>
          <w:tcPr>
            <w:tcW w:w="3120" w:type="dxa"/>
          </w:tcPr>
          <w:p w14:paraId="41113E2E" w14:textId="77777777" w:rsidR="00A36BA5" w:rsidRPr="008270BA" w:rsidRDefault="008270BA">
            <w:pPr>
              <w:pStyle w:val="TableParagraph"/>
              <w:spacing w:before="0" w:line="251" w:lineRule="exact"/>
              <w:ind w:left="137"/>
              <w:rPr>
                <w:w w:val="90"/>
                <w:sz w:val="24"/>
              </w:rPr>
            </w:pPr>
            <w:r w:rsidRPr="008270BA">
              <w:rPr>
                <w:w w:val="90"/>
                <w:sz w:val="24"/>
              </w:rPr>
              <w:lastRenderedPageBreak/>
              <w:t>Amerindio/nativo de Alaska</w:t>
            </w:r>
          </w:p>
          <w:p w14:paraId="4D8B484C" w14:textId="77777777" w:rsidR="00A36BA5" w:rsidRPr="008270BA" w:rsidRDefault="008270BA">
            <w:pPr>
              <w:pStyle w:val="TableParagraph"/>
              <w:spacing w:before="64" w:line="265" w:lineRule="exact"/>
              <w:ind w:left="137"/>
              <w:rPr>
                <w:w w:val="90"/>
                <w:sz w:val="24"/>
              </w:rPr>
            </w:pPr>
            <w:r w:rsidRPr="008270BA">
              <w:rPr>
                <w:w w:val="90"/>
                <w:sz w:val="24"/>
              </w:rPr>
              <w:t>Nativo</w:t>
            </w:r>
          </w:p>
        </w:tc>
        <w:tc>
          <w:tcPr>
            <w:tcW w:w="1520" w:type="dxa"/>
          </w:tcPr>
          <w:p w14:paraId="7361606D" w14:textId="77777777" w:rsidR="00A36BA5" w:rsidRPr="008270BA" w:rsidRDefault="008270BA">
            <w:pPr>
              <w:pStyle w:val="TableParagraph"/>
              <w:spacing w:before="35"/>
              <w:ind w:left="52"/>
              <w:jc w:val="center"/>
              <w:rPr>
                <w:w w:val="90"/>
                <w:sz w:val="24"/>
              </w:rPr>
            </w:pPr>
            <w:r w:rsidRPr="008270BA">
              <w:rPr>
                <w:w w:val="90"/>
                <w:sz w:val="24"/>
              </w:rPr>
              <w:t>0</w:t>
            </w:r>
          </w:p>
        </w:tc>
        <w:tc>
          <w:tcPr>
            <w:tcW w:w="1520" w:type="dxa"/>
          </w:tcPr>
          <w:p w14:paraId="79BD271C" w14:textId="77777777" w:rsidR="00A36BA5" w:rsidRPr="008270BA" w:rsidRDefault="008270BA">
            <w:pPr>
              <w:pStyle w:val="TableParagraph"/>
              <w:spacing w:before="35"/>
              <w:ind w:left="115" w:right="70"/>
              <w:jc w:val="center"/>
              <w:rPr>
                <w:w w:val="90"/>
                <w:sz w:val="24"/>
              </w:rPr>
            </w:pPr>
            <w:r w:rsidRPr="008270BA">
              <w:rPr>
                <w:w w:val="90"/>
                <w:sz w:val="24"/>
              </w:rPr>
              <w:t>N/A</w:t>
            </w:r>
          </w:p>
        </w:tc>
        <w:tc>
          <w:tcPr>
            <w:tcW w:w="1700" w:type="dxa"/>
            <w:vMerge/>
            <w:tcBorders>
              <w:top w:val="nil"/>
            </w:tcBorders>
          </w:tcPr>
          <w:p w14:paraId="68926491" w14:textId="77777777" w:rsidR="00A36BA5" w:rsidRPr="008270BA" w:rsidRDefault="00A36BA5">
            <w:pPr>
              <w:rPr>
                <w:w w:val="90"/>
                <w:sz w:val="2"/>
                <w:szCs w:val="2"/>
              </w:rPr>
            </w:pPr>
          </w:p>
        </w:tc>
        <w:tc>
          <w:tcPr>
            <w:tcW w:w="1720" w:type="dxa"/>
            <w:vMerge/>
            <w:tcBorders>
              <w:top w:val="nil"/>
            </w:tcBorders>
            <w:shd w:val="clear" w:color="auto" w:fill="D9D9D9"/>
          </w:tcPr>
          <w:p w14:paraId="5328F135" w14:textId="77777777" w:rsidR="00A36BA5" w:rsidRPr="008270BA" w:rsidRDefault="00A36BA5">
            <w:pPr>
              <w:rPr>
                <w:w w:val="90"/>
                <w:sz w:val="2"/>
                <w:szCs w:val="2"/>
              </w:rPr>
            </w:pPr>
          </w:p>
        </w:tc>
      </w:tr>
    </w:tbl>
    <w:p w14:paraId="5B008BD4" w14:textId="77777777" w:rsidR="00A36BA5" w:rsidRPr="008270BA" w:rsidRDefault="00A36BA5">
      <w:pPr>
        <w:rPr>
          <w:w w:val="90"/>
          <w:sz w:val="2"/>
          <w:szCs w:val="2"/>
        </w:rPr>
        <w:sectPr w:rsidR="00A36BA5" w:rsidRPr="008270BA">
          <w:pgSz w:w="12240" w:h="15840"/>
          <w:pgMar w:top="1240" w:right="980" w:bottom="1280" w:left="1060" w:header="731" w:footer="997" w:gutter="0"/>
          <w:cols w:space="720"/>
        </w:sectPr>
      </w:pPr>
    </w:p>
    <w:p w14:paraId="3F013DB3" w14:textId="77777777" w:rsidR="00A36BA5" w:rsidRPr="008270BA" w:rsidRDefault="00A36BA5">
      <w:pPr>
        <w:pStyle w:val="BodyText"/>
        <w:spacing w:before="3" w:after="1"/>
        <w:rPr>
          <w:w w:val="90"/>
          <w:sz w:val="17"/>
        </w:rPr>
      </w:pPr>
    </w:p>
    <w:tbl>
      <w:tblPr>
        <w:tblStyle w:val="TableNormal1"/>
        <w:tblW w:w="0" w:type="auto"/>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20"/>
        <w:gridCol w:w="1520"/>
        <w:gridCol w:w="1520"/>
        <w:gridCol w:w="1700"/>
        <w:gridCol w:w="1720"/>
      </w:tblGrid>
      <w:tr w:rsidR="00A36BA5" w:rsidRPr="008270BA" w14:paraId="574BD33B" w14:textId="77777777">
        <w:trPr>
          <w:trHeight w:val="560"/>
        </w:trPr>
        <w:tc>
          <w:tcPr>
            <w:tcW w:w="3120" w:type="dxa"/>
            <w:vMerge w:val="restart"/>
            <w:shd w:val="clear" w:color="auto" w:fill="001F5F"/>
          </w:tcPr>
          <w:p w14:paraId="2DA8D545" w14:textId="77777777" w:rsidR="00A36BA5" w:rsidRPr="008270BA" w:rsidRDefault="00A36BA5">
            <w:pPr>
              <w:pStyle w:val="TableParagraph"/>
              <w:spacing w:before="0"/>
              <w:rPr>
                <w:w w:val="90"/>
                <w:sz w:val="26"/>
              </w:rPr>
            </w:pPr>
          </w:p>
          <w:p w14:paraId="410A785B" w14:textId="77777777" w:rsidR="00A36BA5" w:rsidRPr="008270BA" w:rsidRDefault="00A36BA5">
            <w:pPr>
              <w:pStyle w:val="TableParagraph"/>
              <w:spacing w:before="0"/>
              <w:rPr>
                <w:w w:val="90"/>
                <w:sz w:val="26"/>
              </w:rPr>
            </w:pPr>
          </w:p>
          <w:p w14:paraId="49B80F0E" w14:textId="77777777" w:rsidR="00A36BA5" w:rsidRPr="008270BA" w:rsidRDefault="00A36BA5">
            <w:pPr>
              <w:pStyle w:val="TableParagraph"/>
              <w:spacing w:before="3"/>
              <w:rPr>
                <w:w w:val="90"/>
              </w:rPr>
            </w:pPr>
          </w:p>
          <w:p w14:paraId="35265751" w14:textId="77777777" w:rsidR="00A36BA5" w:rsidRPr="008270BA" w:rsidRDefault="008270BA">
            <w:pPr>
              <w:pStyle w:val="TableParagraph"/>
              <w:spacing w:before="1"/>
              <w:ind w:left="1094"/>
              <w:rPr>
                <w:b/>
                <w:w w:val="90"/>
                <w:sz w:val="24"/>
              </w:rPr>
            </w:pPr>
            <w:r w:rsidRPr="008270BA">
              <w:rPr>
                <w:b/>
                <w:color w:val="FFFFFF"/>
                <w:w w:val="90"/>
                <w:sz w:val="24"/>
              </w:rPr>
              <w:t>Categoría</w:t>
            </w:r>
          </w:p>
        </w:tc>
        <w:tc>
          <w:tcPr>
            <w:tcW w:w="4740" w:type="dxa"/>
            <w:gridSpan w:val="3"/>
            <w:shd w:val="clear" w:color="auto" w:fill="001F5F"/>
          </w:tcPr>
          <w:p w14:paraId="1AF07FFE" w14:textId="77777777" w:rsidR="00A36BA5" w:rsidRPr="008270BA" w:rsidRDefault="008270BA">
            <w:pPr>
              <w:pStyle w:val="TableParagraph"/>
              <w:spacing w:before="115"/>
              <w:ind w:left="1533"/>
              <w:rPr>
                <w:b/>
                <w:w w:val="90"/>
                <w:sz w:val="24"/>
              </w:rPr>
            </w:pPr>
            <w:r w:rsidRPr="008270BA">
              <w:rPr>
                <w:b/>
                <w:color w:val="FFFFFF"/>
                <w:w w:val="90"/>
                <w:sz w:val="24"/>
              </w:rPr>
              <w:t>Pilar 1: Diagnosticar</w:t>
            </w:r>
          </w:p>
        </w:tc>
        <w:tc>
          <w:tcPr>
            <w:tcW w:w="1720" w:type="dxa"/>
            <w:shd w:val="clear" w:color="auto" w:fill="001F5F"/>
          </w:tcPr>
          <w:p w14:paraId="176AE448" w14:textId="77777777" w:rsidR="00A36BA5" w:rsidRPr="008270BA" w:rsidRDefault="008270BA">
            <w:pPr>
              <w:pStyle w:val="TableParagraph"/>
              <w:spacing w:before="0" w:line="251" w:lineRule="exact"/>
              <w:ind w:left="512"/>
              <w:rPr>
                <w:b/>
                <w:w w:val="90"/>
                <w:sz w:val="24"/>
              </w:rPr>
            </w:pPr>
            <w:r w:rsidRPr="008270BA">
              <w:rPr>
                <w:b/>
                <w:color w:val="FFFFFF"/>
                <w:w w:val="90"/>
                <w:sz w:val="24"/>
              </w:rPr>
              <w:t>Pilar 3:</w:t>
            </w:r>
          </w:p>
          <w:p w14:paraId="7AC449B0" w14:textId="77777777" w:rsidR="00A36BA5" w:rsidRPr="008270BA" w:rsidRDefault="008270BA">
            <w:pPr>
              <w:pStyle w:val="TableParagraph"/>
              <w:spacing w:before="4"/>
              <w:ind w:left="497"/>
              <w:rPr>
                <w:b/>
                <w:w w:val="90"/>
                <w:sz w:val="24"/>
              </w:rPr>
            </w:pPr>
            <w:r w:rsidRPr="008270BA">
              <w:rPr>
                <w:b/>
                <w:color w:val="FFFFFF"/>
                <w:w w:val="90"/>
                <w:sz w:val="24"/>
              </w:rPr>
              <w:t>Prevenir</w:t>
            </w:r>
          </w:p>
        </w:tc>
      </w:tr>
      <w:tr w:rsidR="00A36BA5" w:rsidRPr="008270BA" w14:paraId="01886463" w14:textId="77777777">
        <w:trPr>
          <w:trHeight w:val="1460"/>
        </w:trPr>
        <w:tc>
          <w:tcPr>
            <w:tcW w:w="3120" w:type="dxa"/>
            <w:vMerge/>
            <w:tcBorders>
              <w:top w:val="nil"/>
            </w:tcBorders>
            <w:shd w:val="clear" w:color="auto" w:fill="001F5F"/>
          </w:tcPr>
          <w:p w14:paraId="12F366A9" w14:textId="77777777" w:rsidR="00A36BA5" w:rsidRPr="008270BA" w:rsidRDefault="00A36BA5">
            <w:pPr>
              <w:rPr>
                <w:w w:val="90"/>
                <w:sz w:val="2"/>
                <w:szCs w:val="2"/>
              </w:rPr>
            </w:pPr>
          </w:p>
        </w:tc>
        <w:tc>
          <w:tcPr>
            <w:tcW w:w="1520" w:type="dxa"/>
            <w:shd w:val="clear" w:color="auto" w:fill="001F5F"/>
          </w:tcPr>
          <w:p w14:paraId="1EB62E46" w14:textId="77777777" w:rsidR="00A36BA5" w:rsidRPr="008270BA" w:rsidRDefault="00A36BA5">
            <w:pPr>
              <w:pStyle w:val="TableParagraph"/>
              <w:spacing w:before="7"/>
              <w:rPr>
                <w:w w:val="90"/>
                <w:sz w:val="25"/>
              </w:rPr>
            </w:pPr>
          </w:p>
          <w:p w14:paraId="4E19F4D7" w14:textId="77777777" w:rsidR="00A36BA5" w:rsidRPr="008270BA" w:rsidRDefault="008270BA">
            <w:pPr>
              <w:pStyle w:val="TableParagraph"/>
              <w:spacing w:before="0"/>
              <w:ind w:left="118" w:right="53"/>
              <w:jc w:val="center"/>
              <w:rPr>
                <w:b/>
                <w:w w:val="90"/>
                <w:sz w:val="24"/>
              </w:rPr>
            </w:pPr>
            <w:r w:rsidRPr="008270BA">
              <w:rPr>
                <w:b/>
                <w:color w:val="FFFFFF"/>
                <w:w w:val="90"/>
                <w:sz w:val="24"/>
              </w:rPr>
              <w:t>2019</w:t>
            </w:r>
          </w:p>
          <w:p w14:paraId="54D2CBE6" w14:textId="77777777" w:rsidR="00A36BA5" w:rsidRPr="008270BA" w:rsidRDefault="008270BA">
            <w:pPr>
              <w:pStyle w:val="TableParagraph"/>
              <w:spacing w:before="4"/>
              <w:ind w:left="118" w:right="55"/>
              <w:jc w:val="center"/>
              <w:rPr>
                <w:b/>
                <w:w w:val="90"/>
                <w:sz w:val="24"/>
              </w:rPr>
            </w:pPr>
            <w:r w:rsidRPr="008270BA">
              <w:rPr>
                <w:b/>
                <w:color w:val="FFFFFF"/>
                <w:w w:val="90"/>
                <w:sz w:val="24"/>
              </w:rPr>
              <w:t>VIH</w:t>
            </w:r>
          </w:p>
          <w:p w14:paraId="35E510B2" w14:textId="77777777" w:rsidR="00A36BA5" w:rsidRPr="008270BA" w:rsidRDefault="008270BA">
            <w:pPr>
              <w:pStyle w:val="TableParagraph"/>
              <w:spacing w:before="24"/>
              <w:ind w:left="118" w:right="70"/>
              <w:jc w:val="center"/>
              <w:rPr>
                <w:b/>
                <w:w w:val="90"/>
                <w:sz w:val="24"/>
              </w:rPr>
            </w:pPr>
            <w:r w:rsidRPr="008270BA">
              <w:rPr>
                <w:b/>
                <w:color w:val="FFFFFF"/>
                <w:w w:val="90"/>
                <w:sz w:val="24"/>
              </w:rPr>
              <w:t>Diagnósticos</w:t>
            </w:r>
          </w:p>
        </w:tc>
        <w:tc>
          <w:tcPr>
            <w:tcW w:w="1520" w:type="dxa"/>
            <w:shd w:val="clear" w:color="auto" w:fill="001F5F"/>
          </w:tcPr>
          <w:p w14:paraId="2FBE43D9" w14:textId="77777777" w:rsidR="00A36BA5" w:rsidRPr="008270BA" w:rsidRDefault="008270BA">
            <w:pPr>
              <w:pStyle w:val="TableParagraph"/>
              <w:spacing w:before="135"/>
              <w:ind w:left="507"/>
              <w:rPr>
                <w:b/>
                <w:w w:val="90"/>
                <w:sz w:val="24"/>
              </w:rPr>
            </w:pPr>
            <w:r w:rsidRPr="008270BA">
              <w:rPr>
                <w:b/>
                <w:color w:val="FFFFFF"/>
                <w:w w:val="90"/>
                <w:sz w:val="24"/>
              </w:rPr>
              <w:t>2019</w:t>
            </w:r>
          </w:p>
          <w:p w14:paraId="313DA4BD" w14:textId="77777777" w:rsidR="00A36BA5" w:rsidRPr="008270BA" w:rsidRDefault="008270BA">
            <w:pPr>
              <w:pStyle w:val="TableParagraph"/>
              <w:spacing w:before="24" w:line="252" w:lineRule="auto"/>
              <w:ind w:left="230" w:right="183" w:firstLine="28"/>
              <w:jc w:val="both"/>
              <w:rPr>
                <w:b/>
                <w:w w:val="90"/>
                <w:sz w:val="24"/>
              </w:rPr>
            </w:pPr>
            <w:r w:rsidRPr="008270BA">
              <w:rPr>
                <w:b/>
                <w:color w:val="FFFFFF"/>
                <w:w w:val="90"/>
                <w:sz w:val="24"/>
              </w:rPr>
              <w:t>Vinculación a atención en 30 días (#/%)</w:t>
            </w:r>
          </w:p>
        </w:tc>
        <w:tc>
          <w:tcPr>
            <w:tcW w:w="1700" w:type="dxa"/>
            <w:shd w:val="clear" w:color="auto" w:fill="001F5F"/>
          </w:tcPr>
          <w:p w14:paraId="24E5B663" w14:textId="77777777" w:rsidR="00A36BA5" w:rsidRPr="008270BA" w:rsidRDefault="00A36BA5">
            <w:pPr>
              <w:pStyle w:val="TableParagraph"/>
              <w:spacing w:before="9"/>
              <w:rPr>
                <w:w w:val="90"/>
                <w:sz w:val="37"/>
              </w:rPr>
            </w:pPr>
          </w:p>
          <w:p w14:paraId="1B92B1A2" w14:textId="77777777" w:rsidR="00A36BA5" w:rsidRPr="008270BA" w:rsidRDefault="008270BA">
            <w:pPr>
              <w:pStyle w:val="TableParagraph"/>
              <w:spacing w:before="0" w:line="261" w:lineRule="auto"/>
              <w:ind w:left="601" w:hanging="452"/>
              <w:rPr>
                <w:b/>
                <w:w w:val="90"/>
                <w:sz w:val="24"/>
              </w:rPr>
            </w:pPr>
            <w:r w:rsidRPr="008270BA">
              <w:rPr>
                <w:b/>
                <w:color w:val="FFFFFF"/>
                <w:w w:val="90"/>
                <w:sz w:val="24"/>
              </w:rPr>
              <w:t>2018 Sin conocimiento (#/%)</w:t>
            </w:r>
          </w:p>
        </w:tc>
        <w:tc>
          <w:tcPr>
            <w:tcW w:w="1720" w:type="dxa"/>
            <w:shd w:val="clear" w:color="auto" w:fill="001F5F"/>
          </w:tcPr>
          <w:p w14:paraId="65B55A22" w14:textId="77777777" w:rsidR="00A36BA5" w:rsidRPr="008270BA" w:rsidRDefault="008270BA">
            <w:pPr>
              <w:pStyle w:val="TableParagraph"/>
              <w:spacing w:before="0" w:line="254" w:lineRule="auto"/>
              <w:ind w:left="161" w:right="90" w:firstLine="10"/>
              <w:jc w:val="center"/>
              <w:rPr>
                <w:b/>
                <w:w w:val="90"/>
                <w:sz w:val="24"/>
              </w:rPr>
            </w:pPr>
            <w:r w:rsidRPr="008270BA">
              <w:rPr>
                <w:b/>
                <w:color w:val="FFFFFF"/>
                <w:w w:val="90"/>
                <w:sz w:val="24"/>
              </w:rPr>
              <w:t># de personas VIH negativo con una indicación de</w:t>
            </w:r>
          </w:p>
          <w:p w14:paraId="794FB2B9" w14:textId="77777777" w:rsidR="00A36BA5" w:rsidRPr="008270BA" w:rsidRDefault="008270BA">
            <w:pPr>
              <w:pStyle w:val="TableParagraph"/>
              <w:spacing w:before="0" w:line="266" w:lineRule="exact"/>
              <w:ind w:left="302" w:right="224"/>
              <w:jc w:val="center"/>
              <w:rPr>
                <w:b/>
                <w:w w:val="90"/>
                <w:sz w:val="24"/>
              </w:rPr>
            </w:pPr>
            <w:r w:rsidRPr="008270BA">
              <w:rPr>
                <w:b/>
                <w:color w:val="FFFFFF"/>
                <w:w w:val="90"/>
                <w:sz w:val="24"/>
              </w:rPr>
              <w:t>PrEP</w:t>
            </w:r>
          </w:p>
        </w:tc>
      </w:tr>
      <w:tr w:rsidR="00A36BA5" w:rsidRPr="008270BA" w14:paraId="71EC52C0" w14:textId="77777777">
        <w:trPr>
          <w:trHeight w:val="420"/>
        </w:trPr>
        <w:tc>
          <w:tcPr>
            <w:tcW w:w="7860" w:type="dxa"/>
            <w:gridSpan w:val="4"/>
          </w:tcPr>
          <w:p w14:paraId="687FE322" w14:textId="77777777" w:rsidR="00A36BA5" w:rsidRPr="008270BA" w:rsidRDefault="008270BA">
            <w:pPr>
              <w:pStyle w:val="TableParagraph"/>
              <w:spacing w:before="0" w:line="251" w:lineRule="exact"/>
              <w:ind w:left="30"/>
              <w:rPr>
                <w:i/>
                <w:w w:val="90"/>
                <w:sz w:val="24"/>
              </w:rPr>
            </w:pPr>
            <w:r w:rsidRPr="008270BA">
              <w:rPr>
                <w:i/>
                <w:w w:val="90"/>
                <w:sz w:val="24"/>
              </w:rPr>
              <w:t>Femenino (Sexo de nacimiento)</w:t>
            </w:r>
          </w:p>
        </w:tc>
        <w:tc>
          <w:tcPr>
            <w:tcW w:w="1720" w:type="dxa"/>
          </w:tcPr>
          <w:p w14:paraId="0D397FE6" w14:textId="77777777" w:rsidR="00A36BA5" w:rsidRPr="008270BA" w:rsidRDefault="008270BA">
            <w:pPr>
              <w:pStyle w:val="TableParagraph"/>
              <w:spacing w:before="0" w:line="251" w:lineRule="exact"/>
              <w:ind w:left="586"/>
              <w:rPr>
                <w:w w:val="90"/>
                <w:sz w:val="24"/>
              </w:rPr>
            </w:pPr>
            <w:r w:rsidRPr="008270BA">
              <w:rPr>
                <w:w w:val="90"/>
                <w:sz w:val="24"/>
              </w:rPr>
              <w:t>2,173</w:t>
            </w:r>
          </w:p>
        </w:tc>
      </w:tr>
      <w:tr w:rsidR="00A36BA5" w:rsidRPr="008270BA" w14:paraId="06314821" w14:textId="77777777">
        <w:trPr>
          <w:trHeight w:val="420"/>
        </w:trPr>
        <w:tc>
          <w:tcPr>
            <w:tcW w:w="3120" w:type="dxa"/>
          </w:tcPr>
          <w:p w14:paraId="122F726F" w14:textId="77777777" w:rsidR="00A36BA5" w:rsidRPr="008270BA" w:rsidRDefault="008270BA">
            <w:pPr>
              <w:pStyle w:val="TableParagraph"/>
              <w:ind w:left="137"/>
              <w:rPr>
                <w:w w:val="90"/>
                <w:sz w:val="24"/>
              </w:rPr>
            </w:pPr>
            <w:r w:rsidRPr="008270BA">
              <w:rPr>
                <w:w w:val="90"/>
                <w:sz w:val="24"/>
              </w:rPr>
              <w:t>Negras</w:t>
            </w:r>
          </w:p>
        </w:tc>
        <w:tc>
          <w:tcPr>
            <w:tcW w:w="1520" w:type="dxa"/>
          </w:tcPr>
          <w:p w14:paraId="4145C858" w14:textId="77777777" w:rsidR="00A36BA5" w:rsidRPr="008270BA" w:rsidRDefault="008270BA">
            <w:pPr>
              <w:pStyle w:val="TableParagraph"/>
              <w:ind w:left="118" w:right="52"/>
              <w:jc w:val="center"/>
              <w:rPr>
                <w:w w:val="90"/>
                <w:sz w:val="24"/>
              </w:rPr>
            </w:pPr>
            <w:r w:rsidRPr="008270BA">
              <w:rPr>
                <w:w w:val="90"/>
                <w:sz w:val="24"/>
              </w:rPr>
              <w:t>60</w:t>
            </w:r>
          </w:p>
        </w:tc>
        <w:tc>
          <w:tcPr>
            <w:tcW w:w="1520" w:type="dxa"/>
          </w:tcPr>
          <w:p w14:paraId="2D239E67" w14:textId="77777777" w:rsidR="00A36BA5" w:rsidRPr="008270BA" w:rsidRDefault="008270BA">
            <w:pPr>
              <w:pStyle w:val="TableParagraph"/>
              <w:ind w:right="48"/>
              <w:jc w:val="right"/>
              <w:rPr>
                <w:w w:val="90"/>
                <w:sz w:val="24"/>
              </w:rPr>
            </w:pPr>
            <w:r w:rsidRPr="008270BA">
              <w:rPr>
                <w:w w:val="90"/>
                <w:sz w:val="24"/>
              </w:rPr>
              <w:t>52 (86.7%)</w:t>
            </w:r>
          </w:p>
        </w:tc>
        <w:tc>
          <w:tcPr>
            <w:tcW w:w="1700" w:type="dxa"/>
            <w:vMerge w:val="restart"/>
          </w:tcPr>
          <w:p w14:paraId="4A80A55E" w14:textId="77777777" w:rsidR="00A36BA5" w:rsidRPr="008270BA" w:rsidRDefault="008270BA">
            <w:pPr>
              <w:pStyle w:val="TableParagraph"/>
              <w:spacing w:before="0" w:line="251" w:lineRule="exact"/>
              <w:ind w:left="285"/>
              <w:rPr>
                <w:w w:val="90"/>
                <w:sz w:val="24"/>
              </w:rPr>
            </w:pPr>
            <w:r w:rsidRPr="008270BA">
              <w:rPr>
                <w:w w:val="90"/>
                <w:sz w:val="24"/>
              </w:rPr>
              <w:t>250 (7.3%)</w:t>
            </w:r>
          </w:p>
        </w:tc>
        <w:tc>
          <w:tcPr>
            <w:tcW w:w="1720" w:type="dxa"/>
            <w:vMerge w:val="restart"/>
            <w:shd w:val="clear" w:color="auto" w:fill="D9D9D9"/>
          </w:tcPr>
          <w:p w14:paraId="4454D9B8" w14:textId="77777777" w:rsidR="00A36BA5" w:rsidRPr="008270BA" w:rsidRDefault="00A36BA5">
            <w:pPr>
              <w:pStyle w:val="TableParagraph"/>
              <w:spacing w:before="0"/>
              <w:rPr>
                <w:rFonts w:ascii="Times New Roman"/>
                <w:w w:val="90"/>
              </w:rPr>
            </w:pPr>
          </w:p>
        </w:tc>
      </w:tr>
      <w:tr w:rsidR="00A36BA5" w:rsidRPr="008270BA" w14:paraId="38E42F9F" w14:textId="77777777">
        <w:trPr>
          <w:trHeight w:val="420"/>
        </w:trPr>
        <w:tc>
          <w:tcPr>
            <w:tcW w:w="3120" w:type="dxa"/>
          </w:tcPr>
          <w:p w14:paraId="2BA8DD20" w14:textId="77777777" w:rsidR="00A36BA5" w:rsidRPr="008270BA" w:rsidRDefault="008270BA">
            <w:pPr>
              <w:pStyle w:val="TableParagraph"/>
              <w:ind w:left="137"/>
              <w:rPr>
                <w:w w:val="90"/>
                <w:sz w:val="24"/>
              </w:rPr>
            </w:pPr>
            <w:r w:rsidRPr="008270BA">
              <w:rPr>
                <w:w w:val="90"/>
                <w:sz w:val="24"/>
              </w:rPr>
              <w:t>Hispanas/Latinas</w:t>
            </w:r>
          </w:p>
        </w:tc>
        <w:tc>
          <w:tcPr>
            <w:tcW w:w="1520" w:type="dxa"/>
          </w:tcPr>
          <w:p w14:paraId="0837E4E0" w14:textId="77777777" w:rsidR="00A36BA5" w:rsidRPr="008270BA" w:rsidRDefault="008270BA">
            <w:pPr>
              <w:pStyle w:val="TableParagraph"/>
              <w:ind w:left="118" w:right="51"/>
              <w:jc w:val="center"/>
              <w:rPr>
                <w:w w:val="90"/>
                <w:sz w:val="24"/>
              </w:rPr>
            </w:pPr>
            <w:r w:rsidRPr="008270BA">
              <w:rPr>
                <w:w w:val="90"/>
                <w:sz w:val="24"/>
              </w:rPr>
              <w:t>14</w:t>
            </w:r>
          </w:p>
        </w:tc>
        <w:tc>
          <w:tcPr>
            <w:tcW w:w="1520" w:type="dxa"/>
          </w:tcPr>
          <w:p w14:paraId="63542D74" w14:textId="77777777" w:rsidR="00A36BA5" w:rsidRPr="008270BA" w:rsidRDefault="008270BA">
            <w:pPr>
              <w:pStyle w:val="TableParagraph"/>
              <w:ind w:right="48"/>
              <w:jc w:val="right"/>
              <w:rPr>
                <w:w w:val="90"/>
                <w:sz w:val="24"/>
              </w:rPr>
            </w:pPr>
            <w:r w:rsidRPr="008270BA">
              <w:rPr>
                <w:w w:val="90"/>
                <w:sz w:val="24"/>
              </w:rPr>
              <w:t>13 (92.9%)</w:t>
            </w:r>
          </w:p>
        </w:tc>
        <w:tc>
          <w:tcPr>
            <w:tcW w:w="1700" w:type="dxa"/>
            <w:vMerge/>
            <w:tcBorders>
              <w:top w:val="nil"/>
            </w:tcBorders>
          </w:tcPr>
          <w:p w14:paraId="2F60B14E" w14:textId="77777777" w:rsidR="00A36BA5" w:rsidRPr="008270BA" w:rsidRDefault="00A36BA5">
            <w:pPr>
              <w:rPr>
                <w:w w:val="90"/>
                <w:sz w:val="2"/>
                <w:szCs w:val="2"/>
              </w:rPr>
            </w:pPr>
          </w:p>
        </w:tc>
        <w:tc>
          <w:tcPr>
            <w:tcW w:w="1720" w:type="dxa"/>
            <w:vMerge/>
            <w:tcBorders>
              <w:top w:val="nil"/>
            </w:tcBorders>
            <w:shd w:val="clear" w:color="auto" w:fill="D9D9D9"/>
          </w:tcPr>
          <w:p w14:paraId="2B7EC1F9" w14:textId="77777777" w:rsidR="00A36BA5" w:rsidRPr="008270BA" w:rsidRDefault="00A36BA5">
            <w:pPr>
              <w:rPr>
                <w:w w:val="90"/>
                <w:sz w:val="2"/>
                <w:szCs w:val="2"/>
              </w:rPr>
            </w:pPr>
          </w:p>
        </w:tc>
      </w:tr>
      <w:tr w:rsidR="00A36BA5" w:rsidRPr="008270BA" w14:paraId="60EA8E02" w14:textId="77777777">
        <w:trPr>
          <w:trHeight w:val="420"/>
        </w:trPr>
        <w:tc>
          <w:tcPr>
            <w:tcW w:w="3120" w:type="dxa"/>
          </w:tcPr>
          <w:p w14:paraId="2503A926" w14:textId="77777777" w:rsidR="00A36BA5" w:rsidRPr="008270BA" w:rsidRDefault="008270BA">
            <w:pPr>
              <w:pStyle w:val="TableParagraph"/>
              <w:ind w:left="137"/>
              <w:rPr>
                <w:w w:val="90"/>
                <w:sz w:val="24"/>
              </w:rPr>
            </w:pPr>
            <w:r w:rsidRPr="008270BA">
              <w:rPr>
                <w:w w:val="90"/>
                <w:sz w:val="24"/>
              </w:rPr>
              <w:t>Blancas</w:t>
            </w:r>
          </w:p>
        </w:tc>
        <w:tc>
          <w:tcPr>
            <w:tcW w:w="1520" w:type="dxa"/>
          </w:tcPr>
          <w:p w14:paraId="187CEE19" w14:textId="77777777" w:rsidR="00A36BA5" w:rsidRPr="008270BA" w:rsidRDefault="008270BA">
            <w:pPr>
              <w:pStyle w:val="TableParagraph"/>
              <w:ind w:left="118" w:right="51"/>
              <w:jc w:val="center"/>
              <w:rPr>
                <w:w w:val="90"/>
                <w:sz w:val="24"/>
              </w:rPr>
            </w:pPr>
            <w:r w:rsidRPr="008270BA">
              <w:rPr>
                <w:w w:val="90"/>
                <w:sz w:val="24"/>
              </w:rPr>
              <w:t>&lt;6</w:t>
            </w:r>
          </w:p>
        </w:tc>
        <w:tc>
          <w:tcPr>
            <w:tcW w:w="1520" w:type="dxa"/>
          </w:tcPr>
          <w:p w14:paraId="0BC70004" w14:textId="77777777" w:rsidR="00A36BA5" w:rsidRPr="008270BA" w:rsidRDefault="008270BA">
            <w:pPr>
              <w:pStyle w:val="TableParagraph"/>
              <w:ind w:right="45"/>
              <w:jc w:val="right"/>
              <w:rPr>
                <w:w w:val="90"/>
                <w:sz w:val="24"/>
              </w:rPr>
            </w:pPr>
            <w:r w:rsidRPr="008270BA">
              <w:rPr>
                <w:w w:val="90"/>
                <w:sz w:val="24"/>
              </w:rPr>
              <w:t>&lt;6 (66.7%)</w:t>
            </w:r>
          </w:p>
        </w:tc>
        <w:tc>
          <w:tcPr>
            <w:tcW w:w="1700" w:type="dxa"/>
            <w:vMerge/>
            <w:tcBorders>
              <w:top w:val="nil"/>
            </w:tcBorders>
          </w:tcPr>
          <w:p w14:paraId="6C583F24" w14:textId="77777777" w:rsidR="00A36BA5" w:rsidRPr="008270BA" w:rsidRDefault="00A36BA5">
            <w:pPr>
              <w:rPr>
                <w:w w:val="90"/>
                <w:sz w:val="2"/>
                <w:szCs w:val="2"/>
              </w:rPr>
            </w:pPr>
          </w:p>
        </w:tc>
        <w:tc>
          <w:tcPr>
            <w:tcW w:w="1720" w:type="dxa"/>
            <w:vMerge/>
            <w:tcBorders>
              <w:top w:val="nil"/>
            </w:tcBorders>
            <w:shd w:val="clear" w:color="auto" w:fill="D9D9D9"/>
          </w:tcPr>
          <w:p w14:paraId="107B2FEF" w14:textId="77777777" w:rsidR="00A36BA5" w:rsidRPr="008270BA" w:rsidRDefault="00A36BA5">
            <w:pPr>
              <w:rPr>
                <w:w w:val="90"/>
                <w:sz w:val="2"/>
                <w:szCs w:val="2"/>
              </w:rPr>
            </w:pPr>
          </w:p>
        </w:tc>
      </w:tr>
      <w:tr w:rsidR="00A36BA5" w:rsidRPr="008270BA" w14:paraId="169E4B9E" w14:textId="77777777">
        <w:trPr>
          <w:trHeight w:val="420"/>
        </w:trPr>
        <w:tc>
          <w:tcPr>
            <w:tcW w:w="3120" w:type="dxa"/>
          </w:tcPr>
          <w:p w14:paraId="2156C6AF" w14:textId="77777777" w:rsidR="00A36BA5" w:rsidRPr="008270BA" w:rsidRDefault="008270BA">
            <w:pPr>
              <w:pStyle w:val="TableParagraph"/>
              <w:ind w:left="137"/>
              <w:rPr>
                <w:w w:val="90"/>
                <w:sz w:val="24"/>
              </w:rPr>
            </w:pPr>
            <w:r w:rsidRPr="008270BA">
              <w:rPr>
                <w:w w:val="90"/>
                <w:sz w:val="24"/>
              </w:rPr>
              <w:t>Multirracial no hispanas</w:t>
            </w:r>
          </w:p>
        </w:tc>
        <w:tc>
          <w:tcPr>
            <w:tcW w:w="1520" w:type="dxa"/>
          </w:tcPr>
          <w:p w14:paraId="1910E6E4" w14:textId="77777777" w:rsidR="00A36BA5" w:rsidRPr="008270BA" w:rsidRDefault="008270BA">
            <w:pPr>
              <w:pStyle w:val="TableParagraph"/>
              <w:ind w:left="52"/>
              <w:jc w:val="center"/>
              <w:rPr>
                <w:w w:val="90"/>
                <w:sz w:val="24"/>
              </w:rPr>
            </w:pPr>
            <w:r w:rsidRPr="008270BA">
              <w:rPr>
                <w:w w:val="90"/>
                <w:sz w:val="24"/>
              </w:rPr>
              <w:t>0</w:t>
            </w:r>
          </w:p>
        </w:tc>
        <w:tc>
          <w:tcPr>
            <w:tcW w:w="1520" w:type="dxa"/>
          </w:tcPr>
          <w:p w14:paraId="38767EF6" w14:textId="77777777" w:rsidR="00A36BA5" w:rsidRPr="008270BA" w:rsidRDefault="008270BA">
            <w:pPr>
              <w:pStyle w:val="TableParagraph"/>
              <w:ind w:left="662"/>
              <w:rPr>
                <w:w w:val="90"/>
                <w:sz w:val="24"/>
              </w:rPr>
            </w:pPr>
            <w:r w:rsidRPr="008270BA">
              <w:rPr>
                <w:w w:val="90"/>
                <w:sz w:val="24"/>
              </w:rPr>
              <w:t>N/A</w:t>
            </w:r>
          </w:p>
        </w:tc>
        <w:tc>
          <w:tcPr>
            <w:tcW w:w="1700" w:type="dxa"/>
            <w:vMerge/>
            <w:tcBorders>
              <w:top w:val="nil"/>
            </w:tcBorders>
          </w:tcPr>
          <w:p w14:paraId="34F17DCE" w14:textId="77777777" w:rsidR="00A36BA5" w:rsidRPr="008270BA" w:rsidRDefault="00A36BA5">
            <w:pPr>
              <w:rPr>
                <w:w w:val="90"/>
                <w:sz w:val="2"/>
                <w:szCs w:val="2"/>
              </w:rPr>
            </w:pPr>
          </w:p>
        </w:tc>
        <w:tc>
          <w:tcPr>
            <w:tcW w:w="1720" w:type="dxa"/>
            <w:vMerge/>
            <w:tcBorders>
              <w:top w:val="nil"/>
            </w:tcBorders>
            <w:shd w:val="clear" w:color="auto" w:fill="D9D9D9"/>
          </w:tcPr>
          <w:p w14:paraId="2F742AE4" w14:textId="77777777" w:rsidR="00A36BA5" w:rsidRPr="008270BA" w:rsidRDefault="00A36BA5">
            <w:pPr>
              <w:rPr>
                <w:w w:val="90"/>
                <w:sz w:val="2"/>
                <w:szCs w:val="2"/>
              </w:rPr>
            </w:pPr>
          </w:p>
        </w:tc>
      </w:tr>
      <w:tr w:rsidR="00A36BA5" w:rsidRPr="008270BA" w14:paraId="0D703CEC" w14:textId="77777777">
        <w:trPr>
          <w:trHeight w:val="420"/>
        </w:trPr>
        <w:tc>
          <w:tcPr>
            <w:tcW w:w="3120" w:type="dxa"/>
          </w:tcPr>
          <w:p w14:paraId="51C79742" w14:textId="77777777" w:rsidR="00A36BA5" w:rsidRPr="008270BA" w:rsidRDefault="008270BA">
            <w:pPr>
              <w:pStyle w:val="TableParagraph"/>
              <w:ind w:left="137"/>
              <w:rPr>
                <w:w w:val="90"/>
                <w:sz w:val="24"/>
              </w:rPr>
            </w:pPr>
            <w:r w:rsidRPr="008270BA">
              <w:rPr>
                <w:w w:val="90"/>
                <w:sz w:val="24"/>
              </w:rPr>
              <w:t>Asiáticas/Isleñas del Pacífico</w:t>
            </w:r>
          </w:p>
        </w:tc>
        <w:tc>
          <w:tcPr>
            <w:tcW w:w="1520" w:type="dxa"/>
          </w:tcPr>
          <w:p w14:paraId="710294EB" w14:textId="77777777" w:rsidR="00A36BA5" w:rsidRPr="008270BA" w:rsidRDefault="008270BA">
            <w:pPr>
              <w:pStyle w:val="TableParagraph"/>
              <w:ind w:left="61"/>
              <w:jc w:val="center"/>
              <w:rPr>
                <w:w w:val="90"/>
                <w:sz w:val="24"/>
              </w:rPr>
            </w:pPr>
            <w:r w:rsidRPr="008270BA">
              <w:rPr>
                <w:w w:val="90"/>
                <w:sz w:val="24"/>
              </w:rPr>
              <w:t>0</w:t>
            </w:r>
          </w:p>
        </w:tc>
        <w:tc>
          <w:tcPr>
            <w:tcW w:w="1520" w:type="dxa"/>
          </w:tcPr>
          <w:p w14:paraId="0B17E253" w14:textId="77777777" w:rsidR="00A36BA5" w:rsidRPr="008270BA" w:rsidRDefault="008270BA">
            <w:pPr>
              <w:pStyle w:val="TableParagraph"/>
              <w:ind w:left="118" w:right="69"/>
              <w:jc w:val="center"/>
              <w:rPr>
                <w:w w:val="90"/>
                <w:sz w:val="24"/>
              </w:rPr>
            </w:pPr>
            <w:r w:rsidRPr="008270BA">
              <w:rPr>
                <w:w w:val="90"/>
                <w:sz w:val="24"/>
              </w:rPr>
              <w:t>N/A</w:t>
            </w:r>
          </w:p>
        </w:tc>
        <w:tc>
          <w:tcPr>
            <w:tcW w:w="1700" w:type="dxa"/>
            <w:vMerge/>
            <w:tcBorders>
              <w:top w:val="nil"/>
            </w:tcBorders>
          </w:tcPr>
          <w:p w14:paraId="2E5253CF" w14:textId="77777777" w:rsidR="00A36BA5" w:rsidRPr="008270BA" w:rsidRDefault="00A36BA5">
            <w:pPr>
              <w:rPr>
                <w:w w:val="90"/>
                <w:sz w:val="2"/>
                <w:szCs w:val="2"/>
              </w:rPr>
            </w:pPr>
          </w:p>
        </w:tc>
        <w:tc>
          <w:tcPr>
            <w:tcW w:w="1720" w:type="dxa"/>
            <w:vMerge/>
            <w:tcBorders>
              <w:top w:val="nil"/>
            </w:tcBorders>
            <w:shd w:val="clear" w:color="auto" w:fill="D9D9D9"/>
          </w:tcPr>
          <w:p w14:paraId="2765F4E2" w14:textId="77777777" w:rsidR="00A36BA5" w:rsidRPr="008270BA" w:rsidRDefault="00A36BA5">
            <w:pPr>
              <w:rPr>
                <w:w w:val="90"/>
                <w:sz w:val="2"/>
                <w:szCs w:val="2"/>
              </w:rPr>
            </w:pPr>
          </w:p>
        </w:tc>
      </w:tr>
      <w:tr w:rsidR="00A36BA5" w:rsidRPr="008270BA" w14:paraId="0B2612D7" w14:textId="77777777">
        <w:trPr>
          <w:trHeight w:val="580"/>
        </w:trPr>
        <w:tc>
          <w:tcPr>
            <w:tcW w:w="3120" w:type="dxa"/>
          </w:tcPr>
          <w:p w14:paraId="25DDF3C4" w14:textId="77777777" w:rsidR="00A36BA5" w:rsidRPr="008270BA" w:rsidRDefault="008270BA">
            <w:pPr>
              <w:pStyle w:val="TableParagraph"/>
              <w:spacing w:before="0" w:line="242" w:lineRule="auto"/>
              <w:ind w:left="137" w:right="288"/>
              <w:rPr>
                <w:w w:val="90"/>
                <w:sz w:val="24"/>
              </w:rPr>
            </w:pPr>
            <w:r w:rsidRPr="008270BA">
              <w:rPr>
                <w:w w:val="90"/>
                <w:sz w:val="24"/>
              </w:rPr>
              <w:t>Nativa americana / Nativa de Alaska</w:t>
            </w:r>
          </w:p>
        </w:tc>
        <w:tc>
          <w:tcPr>
            <w:tcW w:w="1520" w:type="dxa"/>
          </w:tcPr>
          <w:p w14:paraId="4EDD6B5D" w14:textId="77777777" w:rsidR="00A36BA5" w:rsidRPr="008270BA" w:rsidRDefault="008270BA">
            <w:pPr>
              <w:pStyle w:val="TableParagraph"/>
              <w:spacing w:before="135"/>
              <w:ind w:left="61"/>
              <w:jc w:val="center"/>
              <w:rPr>
                <w:w w:val="90"/>
                <w:sz w:val="24"/>
              </w:rPr>
            </w:pPr>
            <w:r w:rsidRPr="008270BA">
              <w:rPr>
                <w:w w:val="90"/>
                <w:sz w:val="24"/>
              </w:rPr>
              <w:t>0</w:t>
            </w:r>
          </w:p>
        </w:tc>
        <w:tc>
          <w:tcPr>
            <w:tcW w:w="1520" w:type="dxa"/>
          </w:tcPr>
          <w:p w14:paraId="1F6C9B5D" w14:textId="77777777" w:rsidR="00A36BA5" w:rsidRPr="008270BA" w:rsidRDefault="008270BA">
            <w:pPr>
              <w:pStyle w:val="TableParagraph"/>
              <w:spacing w:before="135"/>
              <w:ind w:left="118" w:right="69"/>
              <w:jc w:val="center"/>
              <w:rPr>
                <w:w w:val="90"/>
                <w:sz w:val="24"/>
              </w:rPr>
            </w:pPr>
            <w:r w:rsidRPr="008270BA">
              <w:rPr>
                <w:w w:val="90"/>
                <w:sz w:val="24"/>
              </w:rPr>
              <w:t>N/A</w:t>
            </w:r>
          </w:p>
        </w:tc>
        <w:tc>
          <w:tcPr>
            <w:tcW w:w="1700" w:type="dxa"/>
            <w:vMerge/>
            <w:tcBorders>
              <w:top w:val="nil"/>
            </w:tcBorders>
          </w:tcPr>
          <w:p w14:paraId="24910AB1" w14:textId="77777777" w:rsidR="00A36BA5" w:rsidRPr="008270BA" w:rsidRDefault="00A36BA5">
            <w:pPr>
              <w:rPr>
                <w:w w:val="90"/>
                <w:sz w:val="2"/>
                <w:szCs w:val="2"/>
              </w:rPr>
            </w:pPr>
          </w:p>
        </w:tc>
        <w:tc>
          <w:tcPr>
            <w:tcW w:w="1720" w:type="dxa"/>
            <w:vMerge/>
            <w:tcBorders>
              <w:top w:val="nil"/>
            </w:tcBorders>
            <w:shd w:val="clear" w:color="auto" w:fill="D9D9D9"/>
          </w:tcPr>
          <w:p w14:paraId="6B53DBD9" w14:textId="77777777" w:rsidR="00A36BA5" w:rsidRPr="008270BA" w:rsidRDefault="00A36BA5">
            <w:pPr>
              <w:rPr>
                <w:w w:val="90"/>
                <w:sz w:val="2"/>
                <w:szCs w:val="2"/>
              </w:rPr>
            </w:pPr>
          </w:p>
        </w:tc>
      </w:tr>
      <w:tr w:rsidR="00A36BA5" w:rsidRPr="008270BA" w14:paraId="6ED82E8F" w14:textId="77777777">
        <w:trPr>
          <w:trHeight w:val="420"/>
        </w:trPr>
        <w:tc>
          <w:tcPr>
            <w:tcW w:w="9580" w:type="dxa"/>
            <w:gridSpan w:val="5"/>
            <w:shd w:val="clear" w:color="auto" w:fill="D9D9D9"/>
          </w:tcPr>
          <w:p w14:paraId="4EAD7116" w14:textId="77777777" w:rsidR="00A36BA5" w:rsidRPr="008270BA" w:rsidRDefault="008270BA">
            <w:pPr>
              <w:pStyle w:val="TableParagraph"/>
              <w:ind w:left="137"/>
              <w:rPr>
                <w:b/>
                <w:w w:val="90"/>
                <w:sz w:val="24"/>
              </w:rPr>
            </w:pPr>
            <w:r w:rsidRPr="008270BA">
              <w:rPr>
                <w:b/>
                <w:w w:val="90"/>
                <w:sz w:val="24"/>
              </w:rPr>
              <w:t>Grupo de edad</w:t>
            </w:r>
          </w:p>
        </w:tc>
      </w:tr>
      <w:tr w:rsidR="00A36BA5" w:rsidRPr="008270BA" w14:paraId="144C7E77" w14:textId="77777777">
        <w:trPr>
          <w:trHeight w:val="420"/>
        </w:trPr>
        <w:tc>
          <w:tcPr>
            <w:tcW w:w="3120" w:type="dxa"/>
          </w:tcPr>
          <w:p w14:paraId="767F0E6B" w14:textId="77777777" w:rsidR="00A36BA5" w:rsidRPr="008270BA" w:rsidRDefault="008270BA">
            <w:pPr>
              <w:pStyle w:val="TableParagraph"/>
              <w:ind w:left="137"/>
              <w:rPr>
                <w:w w:val="90"/>
                <w:sz w:val="24"/>
              </w:rPr>
            </w:pPr>
            <w:r w:rsidRPr="008270BA">
              <w:rPr>
                <w:w w:val="90"/>
                <w:sz w:val="24"/>
              </w:rPr>
              <w:t>Jóvenes de 13 a 19 años</w:t>
            </w:r>
          </w:p>
        </w:tc>
        <w:tc>
          <w:tcPr>
            <w:tcW w:w="1520" w:type="dxa"/>
          </w:tcPr>
          <w:p w14:paraId="0359236C" w14:textId="77777777" w:rsidR="00A36BA5" w:rsidRPr="008270BA" w:rsidRDefault="008270BA">
            <w:pPr>
              <w:pStyle w:val="TableParagraph"/>
              <w:ind w:left="118" w:right="53"/>
              <w:jc w:val="center"/>
              <w:rPr>
                <w:w w:val="90"/>
                <w:sz w:val="24"/>
              </w:rPr>
            </w:pPr>
            <w:r w:rsidRPr="008270BA">
              <w:rPr>
                <w:w w:val="90"/>
                <w:sz w:val="24"/>
              </w:rPr>
              <w:t>32</w:t>
            </w:r>
          </w:p>
        </w:tc>
        <w:tc>
          <w:tcPr>
            <w:tcW w:w="1520" w:type="dxa"/>
            <w:vMerge w:val="restart"/>
          </w:tcPr>
          <w:p w14:paraId="0DB0A627" w14:textId="77777777" w:rsidR="00A36BA5" w:rsidRPr="008270BA" w:rsidRDefault="00A36BA5">
            <w:pPr>
              <w:pStyle w:val="TableParagraph"/>
              <w:spacing w:before="10"/>
              <w:rPr>
                <w:w w:val="90"/>
                <w:sz w:val="23"/>
              </w:rPr>
            </w:pPr>
          </w:p>
          <w:p w14:paraId="4CE2D752" w14:textId="77777777" w:rsidR="00A36BA5" w:rsidRPr="008270BA" w:rsidRDefault="008270BA">
            <w:pPr>
              <w:pStyle w:val="TableParagraph"/>
              <w:spacing w:before="0"/>
              <w:ind w:left="116"/>
              <w:rPr>
                <w:w w:val="90"/>
                <w:sz w:val="24"/>
              </w:rPr>
            </w:pPr>
            <w:r w:rsidRPr="008270BA">
              <w:rPr>
                <w:w w:val="90"/>
                <w:sz w:val="24"/>
              </w:rPr>
              <w:t>96 (89.7%)</w:t>
            </w:r>
          </w:p>
        </w:tc>
        <w:tc>
          <w:tcPr>
            <w:tcW w:w="1700" w:type="dxa"/>
            <w:vMerge w:val="restart"/>
          </w:tcPr>
          <w:p w14:paraId="356B44A0" w14:textId="77777777" w:rsidR="00A36BA5" w:rsidRPr="008270BA" w:rsidRDefault="00A36BA5">
            <w:pPr>
              <w:pStyle w:val="TableParagraph"/>
              <w:spacing w:before="10"/>
              <w:rPr>
                <w:w w:val="90"/>
                <w:sz w:val="23"/>
              </w:rPr>
            </w:pPr>
          </w:p>
          <w:p w14:paraId="6F346DD0" w14:textId="77777777" w:rsidR="00A36BA5" w:rsidRPr="008270BA" w:rsidRDefault="008270BA">
            <w:pPr>
              <w:pStyle w:val="TableParagraph"/>
              <w:spacing w:before="0"/>
              <w:ind w:left="293"/>
              <w:rPr>
                <w:w w:val="90"/>
                <w:sz w:val="24"/>
              </w:rPr>
            </w:pPr>
            <w:r w:rsidRPr="008270BA">
              <w:rPr>
                <w:w w:val="90"/>
                <w:sz w:val="24"/>
              </w:rPr>
              <w:t>300 (36.7%)</w:t>
            </w:r>
          </w:p>
        </w:tc>
        <w:tc>
          <w:tcPr>
            <w:tcW w:w="1720" w:type="dxa"/>
            <w:vMerge w:val="restart"/>
          </w:tcPr>
          <w:p w14:paraId="4965AD89" w14:textId="77777777" w:rsidR="00A36BA5" w:rsidRPr="008270BA" w:rsidRDefault="00A36BA5">
            <w:pPr>
              <w:pStyle w:val="TableParagraph"/>
              <w:spacing w:before="0"/>
              <w:rPr>
                <w:w w:val="90"/>
                <w:sz w:val="26"/>
              </w:rPr>
            </w:pPr>
          </w:p>
          <w:p w14:paraId="5CBF4D0A" w14:textId="77777777" w:rsidR="00A36BA5" w:rsidRPr="008270BA" w:rsidRDefault="00A36BA5">
            <w:pPr>
              <w:pStyle w:val="TableParagraph"/>
              <w:spacing w:before="0"/>
              <w:rPr>
                <w:w w:val="90"/>
                <w:sz w:val="26"/>
              </w:rPr>
            </w:pPr>
          </w:p>
          <w:p w14:paraId="31FB6488" w14:textId="77777777" w:rsidR="00A36BA5" w:rsidRPr="008270BA" w:rsidRDefault="008270BA">
            <w:pPr>
              <w:pStyle w:val="TableParagraph"/>
              <w:spacing w:before="157"/>
              <w:ind w:left="302" w:right="222"/>
              <w:jc w:val="center"/>
              <w:rPr>
                <w:w w:val="90"/>
                <w:sz w:val="24"/>
              </w:rPr>
            </w:pPr>
            <w:r w:rsidRPr="008270BA">
              <w:rPr>
                <w:w w:val="90"/>
                <w:sz w:val="24"/>
              </w:rPr>
              <w:t>N/A</w:t>
            </w:r>
          </w:p>
        </w:tc>
      </w:tr>
      <w:tr w:rsidR="00A36BA5" w:rsidRPr="008270BA" w14:paraId="494312CD" w14:textId="77777777">
        <w:trPr>
          <w:trHeight w:val="440"/>
        </w:trPr>
        <w:tc>
          <w:tcPr>
            <w:tcW w:w="3120" w:type="dxa"/>
          </w:tcPr>
          <w:p w14:paraId="559C5287" w14:textId="77777777" w:rsidR="00A36BA5" w:rsidRPr="008270BA" w:rsidRDefault="008270BA">
            <w:pPr>
              <w:pStyle w:val="TableParagraph"/>
              <w:ind w:left="137"/>
              <w:rPr>
                <w:w w:val="90"/>
                <w:sz w:val="24"/>
              </w:rPr>
            </w:pPr>
            <w:r w:rsidRPr="008270BA">
              <w:rPr>
                <w:w w:val="90"/>
                <w:sz w:val="24"/>
              </w:rPr>
              <w:t>Jóvenes de 20 a 24 años</w:t>
            </w:r>
          </w:p>
        </w:tc>
        <w:tc>
          <w:tcPr>
            <w:tcW w:w="1520" w:type="dxa"/>
          </w:tcPr>
          <w:p w14:paraId="6916E0D4" w14:textId="77777777" w:rsidR="00A36BA5" w:rsidRPr="008270BA" w:rsidRDefault="008270BA">
            <w:pPr>
              <w:pStyle w:val="TableParagraph"/>
              <w:ind w:left="118" w:right="53"/>
              <w:jc w:val="center"/>
              <w:rPr>
                <w:w w:val="90"/>
                <w:sz w:val="24"/>
              </w:rPr>
            </w:pPr>
            <w:r w:rsidRPr="008270BA">
              <w:rPr>
                <w:w w:val="90"/>
                <w:sz w:val="24"/>
              </w:rPr>
              <w:t>75</w:t>
            </w:r>
          </w:p>
        </w:tc>
        <w:tc>
          <w:tcPr>
            <w:tcW w:w="1520" w:type="dxa"/>
            <w:vMerge/>
            <w:tcBorders>
              <w:top w:val="nil"/>
            </w:tcBorders>
          </w:tcPr>
          <w:p w14:paraId="2DBC126A" w14:textId="77777777" w:rsidR="00A36BA5" w:rsidRPr="008270BA" w:rsidRDefault="00A36BA5">
            <w:pPr>
              <w:rPr>
                <w:w w:val="90"/>
                <w:sz w:val="2"/>
                <w:szCs w:val="2"/>
              </w:rPr>
            </w:pPr>
          </w:p>
        </w:tc>
        <w:tc>
          <w:tcPr>
            <w:tcW w:w="1700" w:type="dxa"/>
            <w:vMerge/>
            <w:tcBorders>
              <w:top w:val="nil"/>
            </w:tcBorders>
          </w:tcPr>
          <w:p w14:paraId="231B277A" w14:textId="77777777" w:rsidR="00A36BA5" w:rsidRPr="008270BA" w:rsidRDefault="00A36BA5">
            <w:pPr>
              <w:rPr>
                <w:w w:val="90"/>
                <w:sz w:val="2"/>
                <w:szCs w:val="2"/>
              </w:rPr>
            </w:pPr>
          </w:p>
        </w:tc>
        <w:tc>
          <w:tcPr>
            <w:tcW w:w="1720" w:type="dxa"/>
            <w:vMerge/>
            <w:tcBorders>
              <w:top w:val="nil"/>
            </w:tcBorders>
          </w:tcPr>
          <w:p w14:paraId="63C64B49" w14:textId="77777777" w:rsidR="00A36BA5" w:rsidRPr="008270BA" w:rsidRDefault="00A36BA5">
            <w:pPr>
              <w:rPr>
                <w:w w:val="90"/>
                <w:sz w:val="2"/>
                <w:szCs w:val="2"/>
              </w:rPr>
            </w:pPr>
          </w:p>
        </w:tc>
      </w:tr>
      <w:tr w:rsidR="00A36BA5" w:rsidRPr="008270BA" w14:paraId="0BFC45B2" w14:textId="77777777">
        <w:trPr>
          <w:trHeight w:val="420"/>
        </w:trPr>
        <w:tc>
          <w:tcPr>
            <w:tcW w:w="3120" w:type="dxa"/>
          </w:tcPr>
          <w:p w14:paraId="2D350FCD" w14:textId="77777777" w:rsidR="00A36BA5" w:rsidRPr="008270BA" w:rsidRDefault="008270BA">
            <w:pPr>
              <w:pStyle w:val="TableParagraph"/>
              <w:spacing w:before="35"/>
              <w:ind w:left="137"/>
              <w:rPr>
                <w:w w:val="90"/>
                <w:sz w:val="24"/>
              </w:rPr>
            </w:pPr>
            <w:r w:rsidRPr="008270BA">
              <w:rPr>
                <w:w w:val="90"/>
                <w:sz w:val="24"/>
              </w:rPr>
              <w:t>25 - 54</w:t>
            </w:r>
          </w:p>
        </w:tc>
        <w:tc>
          <w:tcPr>
            <w:tcW w:w="1520" w:type="dxa"/>
          </w:tcPr>
          <w:p w14:paraId="67ABF054" w14:textId="77777777" w:rsidR="00A36BA5" w:rsidRPr="008270BA" w:rsidRDefault="008270BA">
            <w:pPr>
              <w:pStyle w:val="TableParagraph"/>
              <w:spacing w:before="35"/>
              <w:ind w:left="118" w:right="50"/>
              <w:jc w:val="center"/>
              <w:rPr>
                <w:w w:val="90"/>
                <w:sz w:val="24"/>
              </w:rPr>
            </w:pPr>
            <w:r w:rsidRPr="008270BA">
              <w:rPr>
                <w:w w:val="90"/>
                <w:sz w:val="24"/>
              </w:rPr>
              <w:t>287</w:t>
            </w:r>
          </w:p>
        </w:tc>
        <w:tc>
          <w:tcPr>
            <w:tcW w:w="1520" w:type="dxa"/>
          </w:tcPr>
          <w:p w14:paraId="4A2FC3F2" w14:textId="77777777" w:rsidR="00A36BA5" w:rsidRPr="008270BA" w:rsidRDefault="008270BA">
            <w:pPr>
              <w:pStyle w:val="TableParagraph"/>
              <w:spacing w:before="35"/>
              <w:ind w:left="116"/>
              <w:rPr>
                <w:w w:val="90"/>
                <w:sz w:val="24"/>
              </w:rPr>
            </w:pPr>
            <w:r w:rsidRPr="008270BA">
              <w:rPr>
                <w:w w:val="90"/>
                <w:sz w:val="24"/>
              </w:rPr>
              <w:t>223 (77.7%)</w:t>
            </w:r>
          </w:p>
        </w:tc>
        <w:tc>
          <w:tcPr>
            <w:tcW w:w="1700" w:type="dxa"/>
          </w:tcPr>
          <w:p w14:paraId="257CF74D" w14:textId="77777777" w:rsidR="00A36BA5" w:rsidRPr="008270BA" w:rsidRDefault="008270BA">
            <w:pPr>
              <w:pStyle w:val="TableParagraph"/>
              <w:spacing w:before="35"/>
              <w:ind w:left="146" w:right="88"/>
              <w:jc w:val="center"/>
              <w:rPr>
                <w:w w:val="90"/>
                <w:sz w:val="24"/>
              </w:rPr>
            </w:pPr>
            <w:r w:rsidRPr="008270BA">
              <w:rPr>
                <w:w w:val="90"/>
                <w:sz w:val="24"/>
              </w:rPr>
              <w:t>1,210 (11.9% )</w:t>
            </w:r>
          </w:p>
        </w:tc>
        <w:tc>
          <w:tcPr>
            <w:tcW w:w="1720" w:type="dxa"/>
            <w:vMerge/>
            <w:tcBorders>
              <w:top w:val="nil"/>
            </w:tcBorders>
          </w:tcPr>
          <w:p w14:paraId="46281D63" w14:textId="77777777" w:rsidR="00A36BA5" w:rsidRPr="008270BA" w:rsidRDefault="00A36BA5">
            <w:pPr>
              <w:rPr>
                <w:w w:val="90"/>
                <w:sz w:val="2"/>
                <w:szCs w:val="2"/>
              </w:rPr>
            </w:pPr>
          </w:p>
        </w:tc>
      </w:tr>
      <w:tr w:rsidR="00A36BA5" w:rsidRPr="008270BA" w14:paraId="22930EEE" w14:textId="77777777">
        <w:trPr>
          <w:trHeight w:val="400"/>
        </w:trPr>
        <w:tc>
          <w:tcPr>
            <w:tcW w:w="3120" w:type="dxa"/>
          </w:tcPr>
          <w:p w14:paraId="680A7243" w14:textId="77777777" w:rsidR="00A36BA5" w:rsidRPr="008270BA" w:rsidRDefault="008270BA">
            <w:pPr>
              <w:pStyle w:val="TableParagraph"/>
              <w:spacing w:before="35"/>
              <w:ind w:left="137"/>
              <w:rPr>
                <w:w w:val="90"/>
                <w:sz w:val="24"/>
              </w:rPr>
            </w:pPr>
            <w:r w:rsidRPr="008270BA">
              <w:rPr>
                <w:w w:val="90"/>
                <w:sz w:val="24"/>
                <w:u w:val="single"/>
              </w:rPr>
              <w:t xml:space="preserve">&gt; </w:t>
            </w:r>
            <w:r w:rsidRPr="008270BA">
              <w:rPr>
                <w:w w:val="90"/>
                <w:sz w:val="24"/>
              </w:rPr>
              <w:t>55</w:t>
            </w:r>
          </w:p>
        </w:tc>
        <w:tc>
          <w:tcPr>
            <w:tcW w:w="1520" w:type="dxa"/>
          </w:tcPr>
          <w:p w14:paraId="73CE61CF" w14:textId="77777777" w:rsidR="00A36BA5" w:rsidRPr="008270BA" w:rsidRDefault="008270BA">
            <w:pPr>
              <w:pStyle w:val="TableParagraph"/>
              <w:spacing w:before="35"/>
              <w:ind w:left="118" w:right="53"/>
              <w:jc w:val="center"/>
              <w:rPr>
                <w:w w:val="90"/>
                <w:sz w:val="24"/>
              </w:rPr>
            </w:pPr>
            <w:r w:rsidRPr="008270BA">
              <w:rPr>
                <w:w w:val="90"/>
                <w:sz w:val="24"/>
              </w:rPr>
              <w:t>45</w:t>
            </w:r>
          </w:p>
        </w:tc>
        <w:tc>
          <w:tcPr>
            <w:tcW w:w="1520" w:type="dxa"/>
          </w:tcPr>
          <w:p w14:paraId="4F8B2A80" w14:textId="77777777" w:rsidR="00A36BA5" w:rsidRPr="008270BA" w:rsidRDefault="008270BA">
            <w:pPr>
              <w:pStyle w:val="TableParagraph"/>
              <w:spacing w:before="35"/>
              <w:ind w:left="116"/>
              <w:rPr>
                <w:w w:val="90"/>
                <w:sz w:val="24"/>
              </w:rPr>
            </w:pPr>
            <w:r w:rsidRPr="008270BA">
              <w:rPr>
                <w:w w:val="90"/>
                <w:sz w:val="24"/>
              </w:rPr>
              <w:t>38 (84.4%)</w:t>
            </w:r>
          </w:p>
        </w:tc>
        <w:tc>
          <w:tcPr>
            <w:tcW w:w="1700" w:type="dxa"/>
          </w:tcPr>
          <w:p w14:paraId="28EA4459" w14:textId="77777777" w:rsidR="00A36BA5" w:rsidRPr="008270BA" w:rsidRDefault="008270BA">
            <w:pPr>
              <w:pStyle w:val="TableParagraph"/>
              <w:spacing w:before="35"/>
              <w:ind w:left="146" w:right="76"/>
              <w:jc w:val="center"/>
              <w:rPr>
                <w:w w:val="90"/>
                <w:sz w:val="24"/>
              </w:rPr>
            </w:pPr>
            <w:r w:rsidRPr="008270BA">
              <w:rPr>
                <w:w w:val="90"/>
                <w:sz w:val="24"/>
              </w:rPr>
              <w:t>190 (3.4%)</w:t>
            </w:r>
          </w:p>
        </w:tc>
        <w:tc>
          <w:tcPr>
            <w:tcW w:w="1720" w:type="dxa"/>
            <w:vMerge/>
            <w:tcBorders>
              <w:top w:val="nil"/>
            </w:tcBorders>
          </w:tcPr>
          <w:p w14:paraId="3E4CC7A0" w14:textId="77777777" w:rsidR="00A36BA5" w:rsidRPr="008270BA" w:rsidRDefault="00A36BA5">
            <w:pPr>
              <w:rPr>
                <w:w w:val="90"/>
                <w:sz w:val="2"/>
                <w:szCs w:val="2"/>
              </w:rPr>
            </w:pPr>
          </w:p>
        </w:tc>
      </w:tr>
    </w:tbl>
    <w:p w14:paraId="799499BE" w14:textId="77777777" w:rsidR="00A36BA5" w:rsidRDefault="00A36BA5">
      <w:pPr>
        <w:rPr>
          <w:w w:val="90"/>
          <w:sz w:val="24"/>
        </w:rPr>
      </w:pPr>
    </w:p>
    <w:p w14:paraId="70A13121" w14:textId="77777777" w:rsidR="00A3515D" w:rsidRPr="00A3515D" w:rsidRDefault="00A3515D" w:rsidP="00A3515D">
      <w:pPr>
        <w:rPr>
          <w:sz w:val="2"/>
          <w:szCs w:val="2"/>
        </w:rPr>
      </w:pPr>
    </w:p>
    <w:p w14:paraId="159B56A8" w14:textId="77777777" w:rsidR="00A3515D" w:rsidRPr="00A3515D" w:rsidRDefault="00A3515D" w:rsidP="00A3515D">
      <w:pPr>
        <w:rPr>
          <w:sz w:val="2"/>
          <w:szCs w:val="2"/>
        </w:rPr>
      </w:pPr>
    </w:p>
    <w:p w14:paraId="681E214F" w14:textId="77777777" w:rsidR="00A3515D" w:rsidRPr="00A3515D" w:rsidRDefault="00A3515D" w:rsidP="00A3515D">
      <w:pPr>
        <w:rPr>
          <w:sz w:val="2"/>
          <w:szCs w:val="2"/>
        </w:rPr>
      </w:pPr>
    </w:p>
    <w:p w14:paraId="3C6BFFB7" w14:textId="77777777" w:rsidR="00A3515D" w:rsidRPr="00A3515D" w:rsidRDefault="00A3515D" w:rsidP="00A3515D">
      <w:pPr>
        <w:rPr>
          <w:sz w:val="2"/>
          <w:szCs w:val="2"/>
        </w:rPr>
      </w:pPr>
    </w:p>
    <w:p w14:paraId="610736A1" w14:textId="77777777" w:rsidR="00A3515D" w:rsidRPr="00A3515D" w:rsidRDefault="00A3515D" w:rsidP="00A3515D">
      <w:pPr>
        <w:rPr>
          <w:sz w:val="2"/>
          <w:szCs w:val="2"/>
        </w:rPr>
      </w:pPr>
    </w:p>
    <w:p w14:paraId="44E8A99D" w14:textId="77777777" w:rsidR="00A3515D" w:rsidRPr="00A3515D" w:rsidRDefault="00A3515D" w:rsidP="00A3515D">
      <w:pPr>
        <w:rPr>
          <w:sz w:val="2"/>
          <w:szCs w:val="2"/>
        </w:rPr>
      </w:pPr>
    </w:p>
    <w:p w14:paraId="521D0ACF" w14:textId="77777777" w:rsidR="00A3515D" w:rsidRPr="00A3515D" w:rsidRDefault="00A3515D" w:rsidP="00A3515D">
      <w:pPr>
        <w:rPr>
          <w:sz w:val="2"/>
          <w:szCs w:val="2"/>
        </w:rPr>
      </w:pPr>
    </w:p>
    <w:p w14:paraId="5BABF549" w14:textId="77777777" w:rsidR="00A3515D" w:rsidRPr="00A3515D" w:rsidRDefault="00A3515D" w:rsidP="00A3515D">
      <w:pPr>
        <w:rPr>
          <w:sz w:val="2"/>
          <w:szCs w:val="2"/>
        </w:rPr>
      </w:pPr>
    </w:p>
    <w:p w14:paraId="3828A5D9" w14:textId="77777777" w:rsidR="00A3515D" w:rsidRDefault="00A3515D" w:rsidP="00A3515D">
      <w:pPr>
        <w:rPr>
          <w:w w:val="90"/>
          <w:sz w:val="24"/>
        </w:rPr>
      </w:pPr>
    </w:p>
    <w:p w14:paraId="68FA660E" w14:textId="77777777" w:rsidR="00A3515D" w:rsidRPr="00A3515D" w:rsidRDefault="00A3515D" w:rsidP="00A3515D">
      <w:pPr>
        <w:rPr>
          <w:sz w:val="2"/>
          <w:szCs w:val="2"/>
        </w:rPr>
      </w:pPr>
    </w:p>
    <w:p w14:paraId="0D5AFFCA" w14:textId="77777777" w:rsidR="00A3515D" w:rsidRPr="00A3515D" w:rsidRDefault="00A3515D" w:rsidP="00A3515D">
      <w:pPr>
        <w:rPr>
          <w:sz w:val="2"/>
          <w:szCs w:val="2"/>
        </w:rPr>
      </w:pPr>
    </w:p>
    <w:p w14:paraId="44BCAAB3" w14:textId="77777777" w:rsidR="00A3515D" w:rsidRPr="00A3515D" w:rsidRDefault="00A3515D" w:rsidP="00A3515D">
      <w:pPr>
        <w:rPr>
          <w:sz w:val="2"/>
          <w:szCs w:val="2"/>
        </w:rPr>
      </w:pPr>
    </w:p>
    <w:p w14:paraId="73F10A40" w14:textId="77777777" w:rsidR="00A3515D" w:rsidRPr="00A3515D" w:rsidRDefault="00A3515D" w:rsidP="00A3515D">
      <w:pPr>
        <w:rPr>
          <w:sz w:val="2"/>
          <w:szCs w:val="2"/>
        </w:rPr>
      </w:pPr>
    </w:p>
    <w:p w14:paraId="3B2CD942" w14:textId="77777777" w:rsidR="00A3515D" w:rsidRPr="00A3515D" w:rsidRDefault="00A3515D" w:rsidP="00A3515D">
      <w:pPr>
        <w:rPr>
          <w:sz w:val="2"/>
          <w:szCs w:val="2"/>
        </w:rPr>
      </w:pPr>
    </w:p>
    <w:p w14:paraId="48254463" w14:textId="77777777" w:rsidR="00A3515D" w:rsidRPr="00A3515D" w:rsidRDefault="00A3515D" w:rsidP="00A3515D">
      <w:pPr>
        <w:rPr>
          <w:sz w:val="2"/>
          <w:szCs w:val="2"/>
        </w:rPr>
      </w:pPr>
    </w:p>
    <w:p w14:paraId="7351B706" w14:textId="77777777" w:rsidR="00A3515D" w:rsidRPr="00A3515D" w:rsidRDefault="00A3515D" w:rsidP="00A3515D">
      <w:pPr>
        <w:rPr>
          <w:sz w:val="2"/>
          <w:szCs w:val="2"/>
        </w:rPr>
      </w:pPr>
    </w:p>
    <w:p w14:paraId="66DD865D" w14:textId="77777777" w:rsidR="00A3515D" w:rsidRPr="00A3515D" w:rsidRDefault="00A3515D" w:rsidP="00A3515D">
      <w:pPr>
        <w:rPr>
          <w:sz w:val="2"/>
          <w:szCs w:val="2"/>
        </w:rPr>
      </w:pPr>
    </w:p>
    <w:p w14:paraId="3C57AFD5" w14:textId="77777777" w:rsidR="00A3515D" w:rsidRPr="00A3515D" w:rsidRDefault="00A3515D" w:rsidP="00A3515D">
      <w:pPr>
        <w:rPr>
          <w:sz w:val="2"/>
          <w:szCs w:val="2"/>
        </w:rPr>
      </w:pPr>
    </w:p>
    <w:p w14:paraId="4F8DB7E6" w14:textId="77777777" w:rsidR="00A3515D" w:rsidRPr="00A3515D" w:rsidRDefault="00A3515D" w:rsidP="00A3515D">
      <w:pPr>
        <w:rPr>
          <w:sz w:val="2"/>
          <w:szCs w:val="2"/>
        </w:rPr>
      </w:pPr>
    </w:p>
    <w:p w14:paraId="2441475E" w14:textId="77777777" w:rsidR="00A3515D" w:rsidRPr="00A3515D" w:rsidRDefault="00A3515D" w:rsidP="00A3515D">
      <w:pPr>
        <w:rPr>
          <w:sz w:val="2"/>
          <w:szCs w:val="2"/>
        </w:rPr>
      </w:pPr>
    </w:p>
    <w:p w14:paraId="14C271DA" w14:textId="77777777" w:rsidR="00A3515D" w:rsidRPr="00A3515D" w:rsidRDefault="00A3515D" w:rsidP="00A3515D">
      <w:pPr>
        <w:rPr>
          <w:sz w:val="2"/>
          <w:szCs w:val="2"/>
        </w:rPr>
      </w:pPr>
    </w:p>
    <w:p w14:paraId="62C113B8" w14:textId="77777777" w:rsidR="00A3515D" w:rsidRPr="00A3515D" w:rsidRDefault="00A3515D" w:rsidP="00A3515D">
      <w:pPr>
        <w:rPr>
          <w:sz w:val="2"/>
          <w:szCs w:val="2"/>
        </w:rPr>
      </w:pPr>
    </w:p>
    <w:p w14:paraId="3DADA485" w14:textId="77777777" w:rsidR="00A3515D" w:rsidRPr="00A3515D" w:rsidRDefault="00A3515D" w:rsidP="00A3515D">
      <w:pPr>
        <w:rPr>
          <w:sz w:val="2"/>
          <w:szCs w:val="2"/>
        </w:rPr>
      </w:pPr>
    </w:p>
    <w:p w14:paraId="507C8C09" w14:textId="77777777" w:rsidR="00A3515D" w:rsidRPr="00A3515D" w:rsidRDefault="00A3515D" w:rsidP="00A3515D">
      <w:pPr>
        <w:rPr>
          <w:sz w:val="2"/>
          <w:szCs w:val="2"/>
        </w:rPr>
      </w:pPr>
    </w:p>
    <w:p w14:paraId="272A71BB" w14:textId="77777777" w:rsidR="00A3515D" w:rsidRPr="00A3515D" w:rsidRDefault="00A3515D" w:rsidP="00A3515D">
      <w:pPr>
        <w:rPr>
          <w:sz w:val="2"/>
          <w:szCs w:val="2"/>
        </w:rPr>
      </w:pPr>
    </w:p>
    <w:p w14:paraId="6A065157" w14:textId="77777777" w:rsidR="00A3515D" w:rsidRPr="00A3515D" w:rsidRDefault="00A3515D" w:rsidP="00A3515D">
      <w:pPr>
        <w:rPr>
          <w:sz w:val="2"/>
          <w:szCs w:val="2"/>
        </w:rPr>
      </w:pPr>
    </w:p>
    <w:p w14:paraId="24A08414" w14:textId="77777777" w:rsidR="00A3515D" w:rsidRPr="00A3515D" w:rsidRDefault="00A3515D" w:rsidP="00A3515D">
      <w:pPr>
        <w:rPr>
          <w:sz w:val="2"/>
          <w:szCs w:val="2"/>
        </w:rPr>
      </w:pPr>
    </w:p>
    <w:p w14:paraId="04E6EBA3" w14:textId="77777777" w:rsidR="00A3515D" w:rsidRPr="00A3515D" w:rsidRDefault="00A3515D" w:rsidP="00A3515D">
      <w:pPr>
        <w:rPr>
          <w:sz w:val="2"/>
          <w:szCs w:val="2"/>
        </w:rPr>
      </w:pPr>
    </w:p>
    <w:p w14:paraId="24FD91CB" w14:textId="77777777" w:rsidR="00A3515D" w:rsidRPr="00A3515D" w:rsidRDefault="00A3515D" w:rsidP="00A3515D">
      <w:pPr>
        <w:rPr>
          <w:sz w:val="2"/>
          <w:szCs w:val="2"/>
        </w:rPr>
      </w:pPr>
    </w:p>
    <w:p w14:paraId="50914074" w14:textId="77777777" w:rsidR="00A3515D" w:rsidRPr="00A3515D" w:rsidRDefault="00A3515D" w:rsidP="00A3515D">
      <w:pPr>
        <w:rPr>
          <w:sz w:val="2"/>
          <w:szCs w:val="2"/>
        </w:rPr>
      </w:pPr>
    </w:p>
    <w:p w14:paraId="30E4B63A" w14:textId="77777777" w:rsidR="00A3515D" w:rsidRPr="00A3515D" w:rsidRDefault="00A3515D" w:rsidP="00A3515D">
      <w:pPr>
        <w:rPr>
          <w:sz w:val="2"/>
          <w:szCs w:val="2"/>
        </w:rPr>
      </w:pPr>
    </w:p>
    <w:p w14:paraId="2A701B57" w14:textId="77777777" w:rsidR="00A3515D" w:rsidRPr="00A3515D" w:rsidRDefault="00A3515D" w:rsidP="00A3515D">
      <w:pPr>
        <w:rPr>
          <w:sz w:val="2"/>
          <w:szCs w:val="2"/>
        </w:rPr>
      </w:pPr>
    </w:p>
    <w:p w14:paraId="010CCC10" w14:textId="77777777" w:rsidR="00A3515D" w:rsidRPr="00A3515D" w:rsidRDefault="00A3515D" w:rsidP="00A3515D">
      <w:pPr>
        <w:rPr>
          <w:sz w:val="2"/>
          <w:szCs w:val="2"/>
        </w:rPr>
      </w:pPr>
    </w:p>
    <w:p w14:paraId="26C9EB5E" w14:textId="77777777" w:rsidR="00A3515D" w:rsidRPr="00A3515D" w:rsidRDefault="00A3515D" w:rsidP="00A3515D">
      <w:pPr>
        <w:rPr>
          <w:sz w:val="2"/>
          <w:szCs w:val="2"/>
        </w:rPr>
      </w:pPr>
    </w:p>
    <w:p w14:paraId="4E4A7F6B" w14:textId="77777777" w:rsidR="00A3515D" w:rsidRPr="00A3515D" w:rsidRDefault="00A3515D" w:rsidP="00A3515D">
      <w:pPr>
        <w:rPr>
          <w:sz w:val="2"/>
          <w:szCs w:val="2"/>
        </w:rPr>
      </w:pPr>
    </w:p>
    <w:p w14:paraId="7A38E8D8" w14:textId="77777777" w:rsidR="00A3515D" w:rsidRPr="00A3515D" w:rsidRDefault="00A3515D" w:rsidP="00A3515D">
      <w:pPr>
        <w:rPr>
          <w:sz w:val="2"/>
          <w:szCs w:val="2"/>
        </w:rPr>
      </w:pPr>
    </w:p>
    <w:p w14:paraId="4569EA3D" w14:textId="77777777" w:rsidR="00A3515D" w:rsidRPr="00A3515D" w:rsidRDefault="00A3515D" w:rsidP="00A3515D">
      <w:pPr>
        <w:rPr>
          <w:sz w:val="2"/>
          <w:szCs w:val="2"/>
        </w:rPr>
      </w:pPr>
    </w:p>
    <w:p w14:paraId="7D6F5441" w14:textId="77777777" w:rsidR="00A3515D" w:rsidRPr="00A3515D" w:rsidRDefault="00A3515D" w:rsidP="00A3515D">
      <w:pPr>
        <w:rPr>
          <w:sz w:val="2"/>
          <w:szCs w:val="2"/>
        </w:rPr>
      </w:pPr>
    </w:p>
    <w:p w14:paraId="2CB2F79F" w14:textId="77777777" w:rsidR="00A3515D" w:rsidRPr="00A3515D" w:rsidRDefault="00A3515D" w:rsidP="00A3515D">
      <w:pPr>
        <w:rPr>
          <w:sz w:val="2"/>
          <w:szCs w:val="2"/>
        </w:rPr>
      </w:pPr>
    </w:p>
    <w:p w14:paraId="690124C4" w14:textId="77777777" w:rsidR="00A3515D" w:rsidRPr="00A3515D" w:rsidRDefault="00A3515D" w:rsidP="00A3515D">
      <w:pPr>
        <w:rPr>
          <w:sz w:val="2"/>
          <w:szCs w:val="2"/>
        </w:rPr>
      </w:pPr>
    </w:p>
    <w:p w14:paraId="64938250" w14:textId="77777777" w:rsidR="00A3515D" w:rsidRPr="00A3515D" w:rsidRDefault="00A3515D" w:rsidP="00A3515D">
      <w:pPr>
        <w:rPr>
          <w:sz w:val="2"/>
          <w:szCs w:val="2"/>
        </w:rPr>
      </w:pPr>
    </w:p>
    <w:p w14:paraId="0025FB32" w14:textId="77777777" w:rsidR="00A3515D" w:rsidRPr="00A3515D" w:rsidRDefault="00A3515D" w:rsidP="00A3515D">
      <w:pPr>
        <w:rPr>
          <w:sz w:val="2"/>
          <w:szCs w:val="2"/>
        </w:rPr>
      </w:pPr>
    </w:p>
    <w:p w14:paraId="5FD0AF01" w14:textId="77777777" w:rsidR="00A3515D" w:rsidRPr="00A3515D" w:rsidRDefault="00A3515D" w:rsidP="00A3515D">
      <w:pPr>
        <w:rPr>
          <w:sz w:val="2"/>
          <w:szCs w:val="2"/>
        </w:rPr>
      </w:pPr>
    </w:p>
    <w:p w14:paraId="3EF308D9" w14:textId="77777777" w:rsidR="00A3515D" w:rsidRPr="00A3515D" w:rsidRDefault="00A3515D" w:rsidP="00A3515D">
      <w:pPr>
        <w:rPr>
          <w:sz w:val="2"/>
          <w:szCs w:val="2"/>
        </w:rPr>
      </w:pPr>
    </w:p>
    <w:p w14:paraId="0990F7AD" w14:textId="77777777" w:rsidR="00A3515D" w:rsidRPr="00A3515D" w:rsidRDefault="00A3515D" w:rsidP="00A3515D">
      <w:pPr>
        <w:rPr>
          <w:sz w:val="2"/>
          <w:szCs w:val="2"/>
        </w:rPr>
      </w:pPr>
    </w:p>
    <w:p w14:paraId="05CF13AC" w14:textId="77777777" w:rsidR="00A3515D" w:rsidRPr="00A3515D" w:rsidRDefault="00A3515D" w:rsidP="00A3515D">
      <w:pPr>
        <w:rPr>
          <w:sz w:val="2"/>
          <w:szCs w:val="2"/>
        </w:rPr>
      </w:pPr>
    </w:p>
    <w:p w14:paraId="4DC3F7C3" w14:textId="77777777" w:rsidR="00A3515D" w:rsidRPr="00A3515D" w:rsidRDefault="00A3515D" w:rsidP="00A3515D">
      <w:pPr>
        <w:rPr>
          <w:sz w:val="2"/>
          <w:szCs w:val="2"/>
        </w:rPr>
      </w:pPr>
    </w:p>
    <w:p w14:paraId="3B5974A5" w14:textId="77777777" w:rsidR="00A3515D" w:rsidRPr="00A3515D" w:rsidRDefault="00A3515D" w:rsidP="00A3515D">
      <w:pPr>
        <w:rPr>
          <w:sz w:val="2"/>
          <w:szCs w:val="2"/>
        </w:rPr>
      </w:pPr>
    </w:p>
    <w:p w14:paraId="3AEDCC0E" w14:textId="77777777" w:rsidR="00A3515D" w:rsidRPr="00A3515D" w:rsidRDefault="00A3515D" w:rsidP="00A3515D">
      <w:pPr>
        <w:rPr>
          <w:sz w:val="2"/>
          <w:szCs w:val="2"/>
        </w:rPr>
      </w:pPr>
    </w:p>
    <w:p w14:paraId="2D6E87B5" w14:textId="77777777" w:rsidR="00A3515D" w:rsidRPr="00A3515D" w:rsidRDefault="00A3515D" w:rsidP="00A3515D">
      <w:pPr>
        <w:rPr>
          <w:sz w:val="2"/>
          <w:szCs w:val="2"/>
        </w:rPr>
      </w:pPr>
    </w:p>
    <w:p w14:paraId="616C026E" w14:textId="77777777" w:rsidR="00A3515D" w:rsidRPr="00A3515D" w:rsidRDefault="00A3515D" w:rsidP="00A3515D">
      <w:pPr>
        <w:rPr>
          <w:sz w:val="2"/>
          <w:szCs w:val="2"/>
        </w:rPr>
      </w:pPr>
    </w:p>
    <w:p w14:paraId="0B5F5EA1" w14:textId="77777777" w:rsidR="00A3515D" w:rsidRPr="00A3515D" w:rsidRDefault="00A3515D" w:rsidP="00A3515D">
      <w:pPr>
        <w:rPr>
          <w:sz w:val="2"/>
          <w:szCs w:val="2"/>
        </w:rPr>
      </w:pPr>
    </w:p>
    <w:p w14:paraId="6514A274" w14:textId="77777777" w:rsidR="00A3515D" w:rsidRPr="00A3515D" w:rsidRDefault="00A3515D" w:rsidP="00A3515D">
      <w:pPr>
        <w:rPr>
          <w:sz w:val="2"/>
          <w:szCs w:val="2"/>
        </w:rPr>
      </w:pPr>
    </w:p>
    <w:p w14:paraId="6E4ECFB5" w14:textId="77777777" w:rsidR="00A3515D" w:rsidRPr="00A3515D" w:rsidRDefault="00A3515D" w:rsidP="00A3515D">
      <w:pPr>
        <w:rPr>
          <w:sz w:val="2"/>
          <w:szCs w:val="2"/>
        </w:rPr>
      </w:pPr>
    </w:p>
    <w:p w14:paraId="27632627" w14:textId="77777777" w:rsidR="00A3515D" w:rsidRPr="00A3515D" w:rsidRDefault="00A3515D" w:rsidP="00A3515D">
      <w:pPr>
        <w:rPr>
          <w:sz w:val="2"/>
          <w:szCs w:val="2"/>
        </w:rPr>
      </w:pPr>
    </w:p>
    <w:p w14:paraId="2D0BADDD" w14:textId="77777777" w:rsidR="00A3515D" w:rsidRPr="00A3515D" w:rsidRDefault="00A3515D" w:rsidP="00A3515D">
      <w:pPr>
        <w:rPr>
          <w:sz w:val="2"/>
          <w:szCs w:val="2"/>
        </w:rPr>
      </w:pPr>
    </w:p>
    <w:p w14:paraId="5A175139" w14:textId="77777777" w:rsidR="00A3515D" w:rsidRPr="00A3515D" w:rsidRDefault="00A3515D" w:rsidP="00A3515D">
      <w:pPr>
        <w:rPr>
          <w:sz w:val="2"/>
          <w:szCs w:val="2"/>
        </w:rPr>
      </w:pPr>
    </w:p>
    <w:p w14:paraId="02B50432" w14:textId="77777777" w:rsidR="00A3515D" w:rsidRPr="00A3515D" w:rsidRDefault="00A3515D" w:rsidP="00A3515D">
      <w:pPr>
        <w:rPr>
          <w:sz w:val="2"/>
          <w:szCs w:val="2"/>
        </w:rPr>
      </w:pPr>
    </w:p>
    <w:p w14:paraId="325964CB" w14:textId="77777777" w:rsidR="00A3515D" w:rsidRPr="00A3515D" w:rsidRDefault="00A3515D" w:rsidP="00A3515D">
      <w:pPr>
        <w:rPr>
          <w:sz w:val="2"/>
          <w:szCs w:val="2"/>
        </w:rPr>
      </w:pPr>
    </w:p>
    <w:p w14:paraId="099B5B7A" w14:textId="77777777" w:rsidR="00A3515D" w:rsidRPr="00A3515D" w:rsidRDefault="00A3515D" w:rsidP="00A3515D">
      <w:pPr>
        <w:rPr>
          <w:sz w:val="2"/>
          <w:szCs w:val="2"/>
        </w:rPr>
      </w:pPr>
    </w:p>
    <w:p w14:paraId="32593474" w14:textId="77777777" w:rsidR="00A3515D" w:rsidRPr="00A3515D" w:rsidRDefault="00A3515D" w:rsidP="00A3515D">
      <w:pPr>
        <w:rPr>
          <w:sz w:val="2"/>
          <w:szCs w:val="2"/>
        </w:rPr>
      </w:pPr>
    </w:p>
    <w:p w14:paraId="1F07CCC2" w14:textId="77777777" w:rsidR="00A3515D" w:rsidRPr="00A3515D" w:rsidRDefault="00A3515D" w:rsidP="00A3515D">
      <w:pPr>
        <w:rPr>
          <w:sz w:val="2"/>
          <w:szCs w:val="2"/>
        </w:rPr>
      </w:pPr>
    </w:p>
    <w:p w14:paraId="013FC955" w14:textId="77777777" w:rsidR="00A3515D" w:rsidRPr="00A3515D" w:rsidRDefault="00A3515D" w:rsidP="00A3515D">
      <w:pPr>
        <w:rPr>
          <w:sz w:val="2"/>
          <w:szCs w:val="2"/>
        </w:rPr>
      </w:pPr>
    </w:p>
    <w:p w14:paraId="41DF87D6" w14:textId="77777777" w:rsidR="00A3515D" w:rsidRPr="00A3515D" w:rsidRDefault="00A3515D" w:rsidP="00A3515D">
      <w:pPr>
        <w:rPr>
          <w:sz w:val="2"/>
          <w:szCs w:val="2"/>
        </w:rPr>
      </w:pPr>
    </w:p>
    <w:p w14:paraId="1F63FE2E" w14:textId="77777777" w:rsidR="00A3515D" w:rsidRPr="00A3515D" w:rsidRDefault="00A3515D" w:rsidP="00A3515D">
      <w:pPr>
        <w:rPr>
          <w:sz w:val="2"/>
          <w:szCs w:val="2"/>
        </w:rPr>
      </w:pPr>
    </w:p>
    <w:p w14:paraId="5449236B" w14:textId="77777777" w:rsidR="00A3515D" w:rsidRPr="00A3515D" w:rsidRDefault="00A3515D" w:rsidP="00A3515D">
      <w:pPr>
        <w:rPr>
          <w:sz w:val="2"/>
          <w:szCs w:val="2"/>
        </w:rPr>
      </w:pPr>
    </w:p>
    <w:p w14:paraId="08F6DB77" w14:textId="77777777" w:rsidR="00A3515D" w:rsidRPr="00A3515D" w:rsidRDefault="00A3515D" w:rsidP="00A3515D">
      <w:pPr>
        <w:rPr>
          <w:sz w:val="2"/>
          <w:szCs w:val="2"/>
        </w:rPr>
      </w:pPr>
    </w:p>
    <w:p w14:paraId="299A6754" w14:textId="77777777" w:rsidR="00A3515D" w:rsidRPr="00A3515D" w:rsidRDefault="00A3515D" w:rsidP="00A3515D">
      <w:pPr>
        <w:rPr>
          <w:sz w:val="2"/>
          <w:szCs w:val="2"/>
        </w:rPr>
      </w:pPr>
    </w:p>
    <w:p w14:paraId="3766FB76" w14:textId="77777777" w:rsidR="00A3515D" w:rsidRPr="00A3515D" w:rsidRDefault="00A3515D" w:rsidP="00A3515D">
      <w:pPr>
        <w:rPr>
          <w:sz w:val="2"/>
          <w:szCs w:val="2"/>
        </w:rPr>
      </w:pPr>
    </w:p>
    <w:p w14:paraId="4A38F549" w14:textId="77777777" w:rsidR="00A3515D" w:rsidRPr="00A3515D" w:rsidRDefault="00A3515D" w:rsidP="00A3515D">
      <w:pPr>
        <w:rPr>
          <w:sz w:val="2"/>
          <w:szCs w:val="2"/>
        </w:rPr>
      </w:pPr>
    </w:p>
    <w:p w14:paraId="1A00D256" w14:textId="77777777" w:rsidR="00A3515D" w:rsidRPr="00A3515D" w:rsidRDefault="00A3515D" w:rsidP="00A3515D">
      <w:pPr>
        <w:rPr>
          <w:sz w:val="2"/>
          <w:szCs w:val="2"/>
        </w:rPr>
      </w:pPr>
    </w:p>
    <w:p w14:paraId="7685E08F" w14:textId="77777777" w:rsidR="00A3515D" w:rsidRPr="00A3515D" w:rsidRDefault="00A3515D" w:rsidP="00A3515D">
      <w:pPr>
        <w:rPr>
          <w:sz w:val="2"/>
          <w:szCs w:val="2"/>
        </w:rPr>
      </w:pPr>
    </w:p>
    <w:p w14:paraId="191D77A4" w14:textId="77777777" w:rsidR="00A3515D" w:rsidRPr="00A3515D" w:rsidRDefault="00A3515D" w:rsidP="00A3515D">
      <w:pPr>
        <w:rPr>
          <w:sz w:val="2"/>
          <w:szCs w:val="2"/>
        </w:rPr>
      </w:pPr>
    </w:p>
    <w:p w14:paraId="43D3313B" w14:textId="77777777" w:rsidR="00A3515D" w:rsidRPr="00A3515D" w:rsidRDefault="00A3515D" w:rsidP="00A3515D">
      <w:pPr>
        <w:rPr>
          <w:sz w:val="2"/>
          <w:szCs w:val="2"/>
        </w:rPr>
      </w:pPr>
    </w:p>
    <w:p w14:paraId="63E7047D" w14:textId="77777777" w:rsidR="00A3515D" w:rsidRPr="00A3515D" w:rsidRDefault="00A3515D" w:rsidP="00A3515D">
      <w:pPr>
        <w:rPr>
          <w:sz w:val="2"/>
          <w:szCs w:val="2"/>
        </w:rPr>
      </w:pPr>
    </w:p>
    <w:p w14:paraId="24731AD7" w14:textId="77777777" w:rsidR="00A3515D" w:rsidRPr="00A3515D" w:rsidRDefault="00A3515D" w:rsidP="00A3515D">
      <w:pPr>
        <w:rPr>
          <w:sz w:val="2"/>
          <w:szCs w:val="2"/>
        </w:rPr>
      </w:pPr>
    </w:p>
    <w:p w14:paraId="271B29F2" w14:textId="77777777" w:rsidR="00A3515D" w:rsidRPr="00A3515D" w:rsidRDefault="00A3515D" w:rsidP="00A3515D">
      <w:pPr>
        <w:rPr>
          <w:sz w:val="2"/>
          <w:szCs w:val="2"/>
        </w:rPr>
      </w:pPr>
    </w:p>
    <w:p w14:paraId="1B4FA12C" w14:textId="77777777" w:rsidR="00A3515D" w:rsidRPr="00A3515D" w:rsidRDefault="00A3515D" w:rsidP="00A3515D">
      <w:pPr>
        <w:rPr>
          <w:sz w:val="2"/>
          <w:szCs w:val="2"/>
        </w:rPr>
      </w:pPr>
    </w:p>
    <w:p w14:paraId="2ABBD07C" w14:textId="77777777" w:rsidR="00A3515D" w:rsidRPr="00A3515D" w:rsidRDefault="00A3515D" w:rsidP="00A3515D">
      <w:pPr>
        <w:rPr>
          <w:sz w:val="2"/>
          <w:szCs w:val="2"/>
        </w:rPr>
      </w:pPr>
    </w:p>
    <w:p w14:paraId="05FF9BA0" w14:textId="77777777" w:rsidR="00A3515D" w:rsidRPr="00A3515D" w:rsidRDefault="00A3515D" w:rsidP="00A3515D">
      <w:pPr>
        <w:rPr>
          <w:sz w:val="2"/>
          <w:szCs w:val="2"/>
        </w:rPr>
      </w:pPr>
    </w:p>
    <w:p w14:paraId="76BAE5D6" w14:textId="77777777" w:rsidR="00A3515D" w:rsidRPr="00A3515D" w:rsidRDefault="00A3515D" w:rsidP="00A3515D">
      <w:pPr>
        <w:rPr>
          <w:sz w:val="2"/>
          <w:szCs w:val="2"/>
        </w:rPr>
      </w:pPr>
    </w:p>
    <w:p w14:paraId="37C5C82E" w14:textId="77777777" w:rsidR="00A3515D" w:rsidRPr="00A3515D" w:rsidRDefault="00A3515D" w:rsidP="00A3515D">
      <w:pPr>
        <w:rPr>
          <w:sz w:val="2"/>
          <w:szCs w:val="2"/>
        </w:rPr>
      </w:pPr>
    </w:p>
    <w:p w14:paraId="647A17A7" w14:textId="77777777" w:rsidR="00A3515D" w:rsidRPr="00A3515D" w:rsidRDefault="00A3515D" w:rsidP="00A3515D">
      <w:pPr>
        <w:rPr>
          <w:sz w:val="2"/>
          <w:szCs w:val="2"/>
        </w:rPr>
      </w:pPr>
    </w:p>
    <w:p w14:paraId="4C1E40AB" w14:textId="77777777" w:rsidR="00A3515D" w:rsidRPr="00A3515D" w:rsidRDefault="00A3515D" w:rsidP="00A3515D">
      <w:pPr>
        <w:rPr>
          <w:sz w:val="2"/>
          <w:szCs w:val="2"/>
        </w:rPr>
      </w:pPr>
    </w:p>
    <w:p w14:paraId="05EB7203" w14:textId="77777777" w:rsidR="00A3515D" w:rsidRPr="00A3515D" w:rsidRDefault="00A3515D" w:rsidP="00A3515D">
      <w:pPr>
        <w:rPr>
          <w:sz w:val="2"/>
          <w:szCs w:val="2"/>
        </w:rPr>
      </w:pPr>
    </w:p>
    <w:p w14:paraId="67383781" w14:textId="77777777" w:rsidR="00A3515D" w:rsidRPr="00A3515D" w:rsidRDefault="00A3515D" w:rsidP="00A3515D">
      <w:pPr>
        <w:rPr>
          <w:sz w:val="2"/>
          <w:szCs w:val="2"/>
        </w:rPr>
      </w:pPr>
    </w:p>
    <w:p w14:paraId="548F8BDA" w14:textId="7608E85D" w:rsidR="00A3515D" w:rsidRPr="00A3515D" w:rsidRDefault="00A3515D" w:rsidP="00A3515D">
      <w:pPr>
        <w:tabs>
          <w:tab w:val="left" w:pos="8004"/>
        </w:tabs>
        <w:rPr>
          <w:sz w:val="2"/>
          <w:szCs w:val="2"/>
        </w:rPr>
      </w:pPr>
      <w:r>
        <w:rPr>
          <w:sz w:val="2"/>
          <w:szCs w:val="2"/>
        </w:rPr>
        <w:tab/>
      </w:r>
    </w:p>
    <w:p w14:paraId="4F2A24A2" w14:textId="77777777" w:rsidR="00A3515D" w:rsidRPr="00A3515D" w:rsidRDefault="00A3515D" w:rsidP="00A3515D">
      <w:pPr>
        <w:rPr>
          <w:sz w:val="2"/>
          <w:szCs w:val="2"/>
        </w:rPr>
      </w:pPr>
    </w:p>
    <w:p w14:paraId="196A8EDB" w14:textId="77777777" w:rsidR="00A3515D" w:rsidRPr="00A3515D" w:rsidRDefault="00A3515D" w:rsidP="00A3515D">
      <w:pPr>
        <w:rPr>
          <w:sz w:val="2"/>
          <w:szCs w:val="2"/>
        </w:rPr>
      </w:pPr>
    </w:p>
    <w:p w14:paraId="51B1CD74" w14:textId="77777777" w:rsidR="00A3515D" w:rsidRPr="00A3515D" w:rsidRDefault="00A3515D" w:rsidP="00A3515D">
      <w:pPr>
        <w:rPr>
          <w:sz w:val="2"/>
          <w:szCs w:val="2"/>
        </w:rPr>
      </w:pPr>
    </w:p>
    <w:p w14:paraId="4E169087" w14:textId="77777777" w:rsidR="00A3515D" w:rsidRPr="00A3515D" w:rsidRDefault="00A3515D" w:rsidP="00A3515D">
      <w:pPr>
        <w:rPr>
          <w:sz w:val="2"/>
          <w:szCs w:val="2"/>
        </w:rPr>
      </w:pPr>
    </w:p>
    <w:p w14:paraId="47828027" w14:textId="77777777" w:rsidR="00A3515D" w:rsidRPr="00A3515D" w:rsidRDefault="00A3515D" w:rsidP="00A3515D">
      <w:pPr>
        <w:rPr>
          <w:sz w:val="2"/>
          <w:szCs w:val="2"/>
        </w:rPr>
      </w:pPr>
    </w:p>
    <w:p w14:paraId="351D89B1" w14:textId="77777777" w:rsidR="00A3515D" w:rsidRPr="00A3515D" w:rsidRDefault="00A3515D" w:rsidP="00A3515D">
      <w:pPr>
        <w:rPr>
          <w:sz w:val="2"/>
          <w:szCs w:val="2"/>
        </w:rPr>
      </w:pPr>
    </w:p>
    <w:p w14:paraId="0A51A39D" w14:textId="77777777" w:rsidR="00A3515D" w:rsidRPr="00A3515D" w:rsidRDefault="00A3515D" w:rsidP="00A3515D">
      <w:pPr>
        <w:rPr>
          <w:sz w:val="2"/>
          <w:szCs w:val="2"/>
        </w:rPr>
      </w:pPr>
    </w:p>
    <w:p w14:paraId="57801BCA" w14:textId="77777777" w:rsidR="00A3515D" w:rsidRPr="00A3515D" w:rsidRDefault="00A3515D" w:rsidP="00A3515D">
      <w:pPr>
        <w:rPr>
          <w:sz w:val="2"/>
          <w:szCs w:val="2"/>
        </w:rPr>
      </w:pPr>
    </w:p>
    <w:p w14:paraId="50DD2457" w14:textId="77777777" w:rsidR="00A3515D" w:rsidRPr="00A3515D" w:rsidRDefault="00A3515D" w:rsidP="00A3515D">
      <w:pPr>
        <w:rPr>
          <w:sz w:val="2"/>
          <w:szCs w:val="2"/>
        </w:rPr>
      </w:pPr>
    </w:p>
    <w:p w14:paraId="66F6F2E5" w14:textId="77777777" w:rsidR="00A3515D" w:rsidRPr="00A3515D" w:rsidRDefault="00A3515D" w:rsidP="00A3515D">
      <w:pPr>
        <w:rPr>
          <w:sz w:val="2"/>
          <w:szCs w:val="2"/>
        </w:rPr>
      </w:pPr>
    </w:p>
    <w:p w14:paraId="379B6678" w14:textId="77777777" w:rsidR="00A3515D" w:rsidRPr="00A3515D" w:rsidRDefault="00A3515D" w:rsidP="00A3515D">
      <w:pPr>
        <w:rPr>
          <w:sz w:val="2"/>
          <w:szCs w:val="2"/>
        </w:rPr>
      </w:pPr>
    </w:p>
    <w:p w14:paraId="03C1C7B6" w14:textId="77777777" w:rsidR="00A3515D" w:rsidRPr="00A3515D" w:rsidRDefault="00A3515D" w:rsidP="00A3515D">
      <w:pPr>
        <w:rPr>
          <w:sz w:val="2"/>
          <w:szCs w:val="2"/>
        </w:rPr>
      </w:pPr>
    </w:p>
    <w:p w14:paraId="62BDD7C1" w14:textId="77777777" w:rsidR="00A3515D" w:rsidRPr="00A3515D" w:rsidRDefault="00A3515D" w:rsidP="00A3515D">
      <w:pPr>
        <w:rPr>
          <w:sz w:val="2"/>
          <w:szCs w:val="2"/>
        </w:rPr>
      </w:pPr>
    </w:p>
    <w:p w14:paraId="44760189" w14:textId="77777777" w:rsidR="00A3515D" w:rsidRPr="00A3515D" w:rsidRDefault="00A3515D" w:rsidP="00A3515D">
      <w:pPr>
        <w:rPr>
          <w:sz w:val="2"/>
          <w:szCs w:val="2"/>
        </w:rPr>
      </w:pPr>
    </w:p>
    <w:p w14:paraId="0B082196" w14:textId="77777777" w:rsidR="00A3515D" w:rsidRPr="00A3515D" w:rsidRDefault="00A3515D" w:rsidP="00A3515D">
      <w:pPr>
        <w:rPr>
          <w:sz w:val="2"/>
          <w:szCs w:val="2"/>
        </w:rPr>
      </w:pPr>
    </w:p>
    <w:p w14:paraId="78E4B812" w14:textId="77777777" w:rsidR="00A3515D" w:rsidRPr="00A3515D" w:rsidRDefault="00A3515D" w:rsidP="00A3515D">
      <w:pPr>
        <w:rPr>
          <w:sz w:val="2"/>
          <w:szCs w:val="2"/>
        </w:rPr>
      </w:pPr>
    </w:p>
    <w:p w14:paraId="55369B71" w14:textId="77777777" w:rsidR="00A3515D" w:rsidRPr="00A3515D" w:rsidRDefault="00A3515D" w:rsidP="00A3515D">
      <w:pPr>
        <w:rPr>
          <w:sz w:val="2"/>
          <w:szCs w:val="2"/>
        </w:rPr>
      </w:pPr>
    </w:p>
    <w:p w14:paraId="3CB7A63E" w14:textId="77777777" w:rsidR="00A3515D" w:rsidRPr="00A3515D" w:rsidRDefault="00A3515D" w:rsidP="00A3515D">
      <w:pPr>
        <w:rPr>
          <w:sz w:val="2"/>
          <w:szCs w:val="2"/>
        </w:rPr>
      </w:pPr>
    </w:p>
    <w:p w14:paraId="58961BF0" w14:textId="77777777" w:rsidR="00A3515D" w:rsidRPr="00A3515D" w:rsidRDefault="00A3515D" w:rsidP="00A3515D">
      <w:pPr>
        <w:rPr>
          <w:sz w:val="2"/>
          <w:szCs w:val="2"/>
        </w:rPr>
      </w:pPr>
    </w:p>
    <w:p w14:paraId="402F777D" w14:textId="77777777" w:rsidR="00A3515D" w:rsidRPr="00A3515D" w:rsidRDefault="00A3515D" w:rsidP="00A3515D">
      <w:pPr>
        <w:rPr>
          <w:sz w:val="2"/>
          <w:szCs w:val="2"/>
        </w:rPr>
      </w:pPr>
    </w:p>
    <w:p w14:paraId="611D1E47" w14:textId="77777777" w:rsidR="00A3515D" w:rsidRPr="00A3515D" w:rsidRDefault="00A3515D" w:rsidP="00A3515D">
      <w:pPr>
        <w:rPr>
          <w:sz w:val="2"/>
          <w:szCs w:val="2"/>
        </w:rPr>
      </w:pPr>
    </w:p>
    <w:p w14:paraId="152ED69F" w14:textId="77777777" w:rsidR="00A3515D" w:rsidRPr="00A3515D" w:rsidRDefault="00A3515D" w:rsidP="00A3515D">
      <w:pPr>
        <w:rPr>
          <w:sz w:val="2"/>
          <w:szCs w:val="2"/>
        </w:rPr>
      </w:pPr>
    </w:p>
    <w:p w14:paraId="475096FB" w14:textId="77777777" w:rsidR="00A3515D" w:rsidRPr="00A3515D" w:rsidRDefault="00A3515D" w:rsidP="00A3515D">
      <w:pPr>
        <w:rPr>
          <w:sz w:val="2"/>
          <w:szCs w:val="2"/>
        </w:rPr>
      </w:pPr>
    </w:p>
    <w:p w14:paraId="627528D0" w14:textId="77777777" w:rsidR="00A3515D" w:rsidRPr="00A3515D" w:rsidRDefault="00A3515D" w:rsidP="00A3515D">
      <w:pPr>
        <w:rPr>
          <w:sz w:val="2"/>
          <w:szCs w:val="2"/>
        </w:rPr>
      </w:pPr>
    </w:p>
    <w:p w14:paraId="2B394D9A" w14:textId="77777777" w:rsidR="00A3515D" w:rsidRPr="00A3515D" w:rsidRDefault="00A3515D" w:rsidP="00A3515D">
      <w:pPr>
        <w:rPr>
          <w:sz w:val="2"/>
          <w:szCs w:val="2"/>
        </w:rPr>
      </w:pPr>
    </w:p>
    <w:p w14:paraId="7D703C5C" w14:textId="77777777" w:rsidR="00A3515D" w:rsidRPr="00A3515D" w:rsidRDefault="00A3515D" w:rsidP="00A3515D">
      <w:pPr>
        <w:rPr>
          <w:sz w:val="2"/>
          <w:szCs w:val="2"/>
        </w:rPr>
      </w:pPr>
    </w:p>
    <w:p w14:paraId="0B716941" w14:textId="77777777" w:rsidR="00A3515D" w:rsidRPr="00A3515D" w:rsidRDefault="00A3515D" w:rsidP="00A3515D">
      <w:pPr>
        <w:rPr>
          <w:sz w:val="2"/>
          <w:szCs w:val="2"/>
        </w:rPr>
      </w:pPr>
    </w:p>
    <w:p w14:paraId="557C574B" w14:textId="77777777" w:rsidR="00A3515D" w:rsidRPr="00A3515D" w:rsidRDefault="00A3515D" w:rsidP="00A3515D">
      <w:pPr>
        <w:rPr>
          <w:sz w:val="2"/>
          <w:szCs w:val="2"/>
        </w:rPr>
      </w:pPr>
    </w:p>
    <w:p w14:paraId="5A8022E1" w14:textId="77777777" w:rsidR="00A3515D" w:rsidRPr="00A3515D" w:rsidRDefault="00A3515D" w:rsidP="00A3515D">
      <w:pPr>
        <w:rPr>
          <w:sz w:val="2"/>
          <w:szCs w:val="2"/>
        </w:rPr>
      </w:pPr>
    </w:p>
    <w:p w14:paraId="6A5C7D88" w14:textId="77777777" w:rsidR="00A3515D" w:rsidRPr="00A3515D" w:rsidRDefault="00A3515D" w:rsidP="00A3515D">
      <w:pPr>
        <w:rPr>
          <w:sz w:val="2"/>
          <w:szCs w:val="2"/>
        </w:rPr>
      </w:pPr>
    </w:p>
    <w:p w14:paraId="742DB25F" w14:textId="7B2DDE05" w:rsidR="00A3515D" w:rsidRPr="00A3515D" w:rsidRDefault="009D4B53" w:rsidP="00A3515D">
      <w:pPr>
        <w:rPr>
          <w:sz w:val="2"/>
          <w:szCs w:val="2"/>
        </w:rPr>
      </w:pPr>
      <w:r>
        <w:rPr>
          <w:noProof/>
          <w:sz w:val="2"/>
          <w:szCs w:val="2"/>
        </w:rPr>
        <mc:AlternateContent>
          <mc:Choice Requires="wps">
            <w:drawing>
              <wp:anchor distT="45720" distB="45720" distL="114300" distR="114300" simplePos="0" relativeHeight="487627776" behindDoc="0" locked="0" layoutInCell="1" allowOverlap="1" wp14:anchorId="042F2918" wp14:editId="555D6664">
                <wp:simplePos x="0" y="0"/>
                <wp:positionH relativeFrom="column">
                  <wp:posOffset>6072505</wp:posOffset>
                </wp:positionH>
                <wp:positionV relativeFrom="paragraph">
                  <wp:posOffset>1219835</wp:posOffset>
                </wp:positionV>
                <wp:extent cx="405765" cy="25209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EAC55" w14:textId="485B65D6" w:rsidR="00A3515D" w:rsidRPr="002F0576" w:rsidRDefault="00A3515D" w:rsidP="00A3515D">
                            <w:pPr>
                              <w:rPr>
                                <w:lang w:val="en-US"/>
                              </w:rPr>
                            </w:pPr>
                            <w:r>
                              <w:t>38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2F2918" id="_x0000_s1058" type="#_x0000_t202" style="position:absolute;margin-left:478.15pt;margin-top:96.05pt;width:31.95pt;height:19.85pt;z-index:487627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" stroked="f">
                <v:textbox style="mso-fit-shape-to-text:t">
                  <w:txbxContent>
                    <w:p w14:paraId="4A8EAC55" w14:textId="485B65D6" w:rsidR="00A3515D" w:rsidRPr="002F0576" w:rsidRDefault="00A3515D" w:rsidP="00A3515D">
                      <w:pPr>
                        <w:rPr>
                          <w:lang w:val="en-US"/>
                        </w:rPr>
                      </w:pPr>
                      <w:r>
                        <w:t>38</w:t>
                      </w:r>
                    </w:p>
                  </w:txbxContent>
                </v:textbox>
                <w10:wrap type="square"/>
              </v:shape>
            </w:pict>
          </mc:Fallback>
        </mc:AlternateContent>
      </w:r>
    </w:p>
    <w:p w14:paraId="7EB09713" w14:textId="7948AD4F" w:rsidR="00A3515D" w:rsidRPr="00A3515D" w:rsidRDefault="00A3515D" w:rsidP="00A3515D">
      <w:pPr>
        <w:rPr>
          <w:sz w:val="2"/>
          <w:szCs w:val="2"/>
        </w:rPr>
        <w:sectPr w:rsidR="00A3515D" w:rsidRPr="00A3515D">
          <w:pgSz w:w="12240" w:h="15840"/>
          <w:pgMar w:top="1240" w:right="980" w:bottom="1280" w:left="1060" w:header="731" w:footer="997" w:gutter="0"/>
          <w:cols w:space="720"/>
        </w:sectPr>
      </w:pPr>
    </w:p>
    <w:p w14:paraId="57A0B334" w14:textId="77777777" w:rsidR="00350D69" w:rsidRDefault="008270BA" w:rsidP="00350D69">
      <w:pPr>
        <w:pStyle w:val="Heading2"/>
        <w:spacing w:before="0" w:line="254" w:lineRule="auto"/>
        <w:ind w:left="284" w:right="135"/>
        <w:jc w:val="left"/>
        <w:rPr>
          <w:w w:val="90"/>
        </w:rPr>
      </w:pPr>
      <w:bookmarkStart w:id="22" w:name="_TOC_250002"/>
      <w:r w:rsidRPr="008270BA">
        <w:rPr>
          <w:w w:val="90"/>
        </w:rPr>
        <w:lastRenderedPageBreak/>
        <w:t>Apéndice B: Poblaciones de prioridad para el Plan de la Ciudad de Filadelfia para Poner Fin a la Epidemia de VIH</w:t>
      </w:r>
    </w:p>
    <w:p w14:paraId="4B07C31B" w14:textId="77777777" w:rsidR="00A36BA5" w:rsidRPr="008270BA" w:rsidRDefault="00350D69" w:rsidP="00350D69">
      <w:pPr>
        <w:pStyle w:val="Heading2"/>
        <w:spacing w:before="0" w:line="254" w:lineRule="auto"/>
        <w:ind w:left="284" w:right="135"/>
        <w:rPr>
          <w:w w:val="90"/>
        </w:rPr>
      </w:pPr>
      <w:r>
        <w:rPr>
          <w:w w:val="90"/>
        </w:rPr>
        <w:t>Pilar 2</w:t>
      </w:r>
      <w:r w:rsidR="008270BA" w:rsidRPr="008270BA">
        <w:rPr>
          <w:w w:val="90"/>
        </w:rPr>
        <w:t xml:space="preserve">: </w:t>
      </w:r>
      <w:bookmarkEnd w:id="22"/>
      <w:r w:rsidR="008270BA" w:rsidRPr="008270BA">
        <w:rPr>
          <w:w w:val="90"/>
        </w:rPr>
        <w:t>Tratar</w:t>
      </w:r>
    </w:p>
    <w:p w14:paraId="03D4CE42" w14:textId="2703B4B7" w:rsidR="00A36BA5" w:rsidRPr="008270BA" w:rsidRDefault="009D4B53">
      <w:pPr>
        <w:pStyle w:val="BodyText"/>
        <w:spacing w:after="1"/>
        <w:rPr>
          <w:w w:val="90"/>
          <w:sz w:val="26"/>
        </w:rPr>
      </w:pPr>
      <w:r>
        <w:rPr>
          <w:noProof/>
        </w:rPr>
        <mc:AlternateContent>
          <mc:Choice Requires="wps">
            <w:drawing>
              <wp:anchor distT="45720" distB="45720" distL="114300" distR="114300" simplePos="0" relativeHeight="487628800" behindDoc="0" locked="0" layoutInCell="1" allowOverlap="1" wp14:anchorId="042F2918" wp14:editId="5C2C3540">
                <wp:simplePos x="0" y="0"/>
                <wp:positionH relativeFrom="column">
                  <wp:posOffset>6067425</wp:posOffset>
                </wp:positionH>
                <wp:positionV relativeFrom="paragraph">
                  <wp:posOffset>7788275</wp:posOffset>
                </wp:positionV>
                <wp:extent cx="405765" cy="25209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3A96B" w14:textId="4C3C142F" w:rsidR="00A3515D" w:rsidRPr="002F0576" w:rsidRDefault="00A3515D" w:rsidP="00A3515D">
                            <w:pPr>
                              <w:rPr>
                                <w:lang w:val="en-US"/>
                              </w:rPr>
                            </w:pPr>
                            <w:r>
                              <w:t>39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2F2918" id="_x0000_s1059" type="#_x0000_t202" style="position:absolute;margin-left:477.75pt;margin-top:613.25pt;width:31.95pt;height:19.85pt;z-index:487628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" stroked="f">
                <v:textbox style="mso-fit-shape-to-text:t">
                  <w:txbxContent>
                    <w:p w14:paraId="03B3A96B" w14:textId="4C3C142F" w:rsidR="00A3515D" w:rsidRPr="002F0576" w:rsidRDefault="00A3515D" w:rsidP="00A3515D">
                      <w:pPr>
                        <w:rPr>
                          <w:lang w:val="en-US"/>
                        </w:rPr>
                      </w:pPr>
                      <w:r>
                        <w:t>39</w:t>
                      </w:r>
                    </w:p>
                  </w:txbxContent>
                </v:textbox>
                <w10:wrap type="square"/>
              </v:shape>
            </w:pict>
          </mc:Fallback>
        </mc:AlternateContent>
      </w:r>
    </w:p>
    <w:tbl>
      <w:tblPr>
        <w:tblStyle w:val="TableNormal1"/>
        <w:tblW w:w="0" w:type="auto"/>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00"/>
        <w:gridCol w:w="1200"/>
        <w:gridCol w:w="820"/>
        <w:gridCol w:w="1340"/>
        <w:gridCol w:w="1360"/>
        <w:gridCol w:w="1360"/>
      </w:tblGrid>
      <w:tr w:rsidR="00A36BA5" w:rsidRPr="008270BA" w14:paraId="6C9F0B3D" w14:textId="77777777" w:rsidTr="00350D69">
        <w:trPr>
          <w:trHeight w:val="2059"/>
        </w:trPr>
        <w:tc>
          <w:tcPr>
            <w:tcW w:w="3500" w:type="dxa"/>
            <w:shd w:val="clear" w:color="auto" w:fill="001F5F"/>
          </w:tcPr>
          <w:p w14:paraId="15F97F96" w14:textId="77777777" w:rsidR="00A36BA5" w:rsidRPr="00350D69" w:rsidRDefault="00A36BA5">
            <w:pPr>
              <w:pStyle w:val="TableParagraph"/>
              <w:spacing w:before="0"/>
              <w:rPr>
                <w:w w:val="90"/>
                <w:sz w:val="18"/>
                <w:szCs w:val="18"/>
              </w:rPr>
            </w:pPr>
          </w:p>
          <w:p w14:paraId="1FA06D85" w14:textId="77777777" w:rsidR="00A36BA5" w:rsidRPr="00350D69" w:rsidRDefault="00A36BA5">
            <w:pPr>
              <w:pStyle w:val="TableParagraph"/>
              <w:spacing w:before="0"/>
              <w:rPr>
                <w:w w:val="90"/>
                <w:sz w:val="18"/>
                <w:szCs w:val="18"/>
              </w:rPr>
            </w:pPr>
          </w:p>
          <w:p w14:paraId="68963A7E" w14:textId="77777777" w:rsidR="00A36BA5" w:rsidRPr="00350D69" w:rsidRDefault="00A36BA5">
            <w:pPr>
              <w:pStyle w:val="TableParagraph"/>
              <w:spacing w:before="5"/>
              <w:rPr>
                <w:w w:val="90"/>
                <w:sz w:val="18"/>
                <w:szCs w:val="18"/>
              </w:rPr>
            </w:pPr>
          </w:p>
          <w:p w14:paraId="664ECFEF" w14:textId="77777777" w:rsidR="00A36BA5" w:rsidRPr="00350D69" w:rsidRDefault="008270BA">
            <w:pPr>
              <w:pStyle w:val="TableParagraph"/>
              <w:spacing w:before="1"/>
              <w:ind w:left="1185" w:right="1169"/>
              <w:jc w:val="center"/>
              <w:rPr>
                <w:b/>
                <w:w w:val="90"/>
                <w:sz w:val="18"/>
                <w:szCs w:val="18"/>
              </w:rPr>
            </w:pPr>
            <w:r w:rsidRPr="00350D69">
              <w:rPr>
                <w:b/>
                <w:color w:val="FFFFFF"/>
                <w:w w:val="90"/>
                <w:sz w:val="18"/>
                <w:szCs w:val="18"/>
              </w:rPr>
              <w:t>Categoría</w:t>
            </w:r>
          </w:p>
        </w:tc>
        <w:tc>
          <w:tcPr>
            <w:tcW w:w="1200" w:type="dxa"/>
            <w:shd w:val="clear" w:color="auto" w:fill="001F5F"/>
          </w:tcPr>
          <w:p w14:paraId="788BEDB2" w14:textId="77777777" w:rsidR="00A36BA5" w:rsidRPr="00350D69" w:rsidRDefault="008270BA">
            <w:pPr>
              <w:pStyle w:val="TableParagraph"/>
              <w:spacing w:before="0" w:line="251" w:lineRule="exact"/>
              <w:ind w:left="220" w:right="183"/>
              <w:jc w:val="center"/>
              <w:rPr>
                <w:b/>
                <w:w w:val="90"/>
                <w:sz w:val="18"/>
                <w:szCs w:val="18"/>
              </w:rPr>
            </w:pPr>
            <w:r w:rsidRPr="00350D69">
              <w:rPr>
                <w:b/>
                <w:color w:val="FFFFFF"/>
                <w:w w:val="90"/>
                <w:sz w:val="18"/>
                <w:szCs w:val="18"/>
              </w:rPr>
              <w:t>Total</w:t>
            </w:r>
          </w:p>
          <w:p w14:paraId="2B2AB8C1" w14:textId="77777777" w:rsidR="00A36BA5" w:rsidRPr="00350D69" w:rsidRDefault="008270BA">
            <w:pPr>
              <w:pStyle w:val="TableParagraph"/>
              <w:spacing w:before="24" w:line="254" w:lineRule="auto"/>
              <w:ind w:left="148" w:right="123" w:firstLine="3"/>
              <w:jc w:val="center"/>
              <w:rPr>
                <w:b/>
                <w:w w:val="90"/>
                <w:sz w:val="18"/>
                <w:szCs w:val="18"/>
              </w:rPr>
            </w:pPr>
            <w:r w:rsidRPr="00350D69">
              <w:rPr>
                <w:b/>
                <w:color w:val="FFFFFF"/>
                <w:w w:val="90"/>
                <w:sz w:val="18"/>
                <w:szCs w:val="18"/>
              </w:rPr>
              <w:t>cantidad de PLWH con evidencia de atención en los últimos 5</w:t>
            </w:r>
          </w:p>
          <w:p w14:paraId="20FE9DF4" w14:textId="77777777" w:rsidR="00A36BA5" w:rsidRPr="00350D69" w:rsidRDefault="008270BA">
            <w:pPr>
              <w:pStyle w:val="TableParagraph"/>
              <w:spacing w:before="0" w:line="261" w:lineRule="exact"/>
              <w:ind w:left="197" w:right="185"/>
              <w:jc w:val="center"/>
              <w:rPr>
                <w:b/>
                <w:w w:val="90"/>
                <w:sz w:val="18"/>
                <w:szCs w:val="18"/>
              </w:rPr>
            </w:pPr>
            <w:r w:rsidRPr="00350D69">
              <w:rPr>
                <w:b/>
                <w:color w:val="FFFFFF"/>
                <w:w w:val="90"/>
                <w:sz w:val="18"/>
                <w:szCs w:val="18"/>
              </w:rPr>
              <w:t>años</w:t>
            </w:r>
          </w:p>
        </w:tc>
        <w:tc>
          <w:tcPr>
            <w:tcW w:w="820" w:type="dxa"/>
            <w:shd w:val="clear" w:color="auto" w:fill="001F5F"/>
          </w:tcPr>
          <w:p w14:paraId="62FE6B50" w14:textId="77777777" w:rsidR="00A36BA5" w:rsidRPr="00350D69" w:rsidRDefault="00A36BA5">
            <w:pPr>
              <w:pStyle w:val="TableParagraph"/>
              <w:spacing w:before="10"/>
              <w:rPr>
                <w:w w:val="90"/>
                <w:sz w:val="18"/>
                <w:szCs w:val="18"/>
              </w:rPr>
            </w:pPr>
          </w:p>
          <w:p w14:paraId="5567B573" w14:textId="77777777" w:rsidR="00A36BA5" w:rsidRPr="00350D69" w:rsidRDefault="008270BA">
            <w:pPr>
              <w:pStyle w:val="TableParagraph"/>
              <w:spacing w:before="0"/>
              <w:ind w:left="55" w:right="32"/>
              <w:jc w:val="center"/>
              <w:rPr>
                <w:b/>
                <w:w w:val="90"/>
                <w:sz w:val="18"/>
                <w:szCs w:val="18"/>
              </w:rPr>
            </w:pPr>
            <w:r w:rsidRPr="00350D69">
              <w:rPr>
                <w:b/>
                <w:color w:val="FFFFFF"/>
                <w:w w:val="90"/>
                <w:sz w:val="18"/>
                <w:szCs w:val="18"/>
              </w:rPr>
              <w:t>PLWH</w:t>
            </w:r>
          </w:p>
          <w:p w14:paraId="06A8F15F" w14:textId="77777777" w:rsidR="00A36BA5" w:rsidRPr="00350D69" w:rsidRDefault="008270BA">
            <w:pPr>
              <w:pStyle w:val="TableParagraph"/>
              <w:spacing w:before="24" w:line="252" w:lineRule="auto"/>
              <w:ind w:left="179" w:right="137" w:hanging="25"/>
              <w:jc w:val="center"/>
              <w:rPr>
                <w:b/>
                <w:w w:val="90"/>
                <w:sz w:val="18"/>
                <w:szCs w:val="18"/>
              </w:rPr>
            </w:pPr>
            <w:r w:rsidRPr="00350D69">
              <w:rPr>
                <w:b/>
                <w:color w:val="FFFFFF"/>
                <w:w w:val="90"/>
                <w:sz w:val="18"/>
                <w:szCs w:val="18"/>
              </w:rPr>
              <w:t>sin atención en 2019</w:t>
            </w:r>
          </w:p>
        </w:tc>
        <w:tc>
          <w:tcPr>
            <w:tcW w:w="1340" w:type="dxa"/>
            <w:shd w:val="clear" w:color="auto" w:fill="001F5F"/>
          </w:tcPr>
          <w:p w14:paraId="1A406EE7" w14:textId="77777777" w:rsidR="00A36BA5" w:rsidRPr="00350D69" w:rsidRDefault="00A36BA5">
            <w:pPr>
              <w:pStyle w:val="TableParagraph"/>
              <w:spacing w:before="0"/>
              <w:rPr>
                <w:w w:val="90"/>
                <w:sz w:val="18"/>
                <w:szCs w:val="18"/>
              </w:rPr>
            </w:pPr>
          </w:p>
          <w:p w14:paraId="34EB5FE5" w14:textId="77777777" w:rsidR="00A36BA5" w:rsidRPr="00350D69" w:rsidRDefault="008270BA">
            <w:pPr>
              <w:pStyle w:val="TableParagraph"/>
              <w:spacing w:before="1" w:line="252" w:lineRule="auto"/>
              <w:ind w:left="237" w:right="186" w:hanging="26"/>
              <w:jc w:val="both"/>
              <w:rPr>
                <w:b/>
                <w:w w:val="90"/>
                <w:sz w:val="18"/>
                <w:szCs w:val="18"/>
              </w:rPr>
            </w:pPr>
            <w:r w:rsidRPr="00350D69">
              <w:rPr>
                <w:b/>
                <w:color w:val="FFFFFF"/>
                <w:w w:val="90"/>
                <w:sz w:val="18"/>
                <w:szCs w:val="18"/>
              </w:rPr>
              <w:t>PLWH en atención sin supresión</w:t>
            </w:r>
          </w:p>
          <w:p w14:paraId="44CAB513" w14:textId="77777777" w:rsidR="00A36BA5" w:rsidRPr="00350D69" w:rsidRDefault="008270BA">
            <w:pPr>
              <w:pStyle w:val="TableParagraph"/>
              <w:spacing w:before="10" w:line="261" w:lineRule="auto"/>
              <w:ind w:left="294" w:right="99" w:hanging="153"/>
              <w:jc w:val="both"/>
              <w:rPr>
                <w:b/>
                <w:w w:val="90"/>
                <w:sz w:val="18"/>
                <w:szCs w:val="18"/>
              </w:rPr>
            </w:pPr>
            <w:r w:rsidRPr="00350D69">
              <w:rPr>
                <w:b/>
                <w:color w:val="FFFFFF"/>
                <w:w w:val="90"/>
                <w:sz w:val="18"/>
                <w:szCs w:val="18"/>
              </w:rPr>
              <w:t>viral en 2019</w:t>
            </w:r>
          </w:p>
        </w:tc>
        <w:tc>
          <w:tcPr>
            <w:tcW w:w="1360" w:type="dxa"/>
            <w:shd w:val="clear" w:color="auto" w:fill="001F5F"/>
          </w:tcPr>
          <w:p w14:paraId="2F916E6C" w14:textId="77777777" w:rsidR="00A36BA5" w:rsidRPr="00350D69" w:rsidRDefault="00A36BA5">
            <w:pPr>
              <w:pStyle w:val="TableParagraph"/>
              <w:spacing w:before="0"/>
              <w:rPr>
                <w:w w:val="90"/>
                <w:sz w:val="18"/>
                <w:szCs w:val="18"/>
              </w:rPr>
            </w:pPr>
          </w:p>
          <w:p w14:paraId="7945FAE0" w14:textId="77777777" w:rsidR="00A36BA5" w:rsidRPr="00350D69" w:rsidRDefault="00A36BA5">
            <w:pPr>
              <w:pStyle w:val="TableParagraph"/>
              <w:spacing w:before="2"/>
              <w:rPr>
                <w:w w:val="90"/>
                <w:sz w:val="18"/>
                <w:szCs w:val="18"/>
              </w:rPr>
            </w:pPr>
          </w:p>
          <w:p w14:paraId="0CB654D2" w14:textId="77777777" w:rsidR="00A36BA5" w:rsidRPr="00350D69" w:rsidRDefault="008270BA">
            <w:pPr>
              <w:pStyle w:val="TableParagraph"/>
              <w:spacing w:before="1" w:line="261" w:lineRule="auto"/>
              <w:ind w:left="166" w:right="155" w:firstLine="19"/>
              <w:jc w:val="center"/>
              <w:rPr>
                <w:b/>
                <w:w w:val="90"/>
                <w:sz w:val="18"/>
                <w:szCs w:val="18"/>
              </w:rPr>
            </w:pPr>
            <w:r w:rsidRPr="00350D69">
              <w:rPr>
                <w:b/>
                <w:color w:val="FFFFFF"/>
                <w:w w:val="90"/>
                <w:sz w:val="18"/>
                <w:szCs w:val="18"/>
              </w:rPr>
              <w:t>Total que no están en atención ni</w:t>
            </w:r>
          </w:p>
          <w:p w14:paraId="49E0B010" w14:textId="77777777" w:rsidR="00A36BA5" w:rsidRPr="00350D69" w:rsidRDefault="008270BA">
            <w:pPr>
              <w:pStyle w:val="TableParagraph"/>
              <w:spacing w:before="0" w:line="254" w:lineRule="exact"/>
              <w:ind w:left="68" w:right="50"/>
              <w:jc w:val="center"/>
              <w:rPr>
                <w:b/>
                <w:w w:val="90"/>
                <w:sz w:val="18"/>
                <w:szCs w:val="18"/>
              </w:rPr>
            </w:pPr>
            <w:r w:rsidRPr="00350D69">
              <w:rPr>
                <w:b/>
                <w:color w:val="FFFFFF"/>
                <w:w w:val="90"/>
                <w:sz w:val="18"/>
                <w:szCs w:val="18"/>
              </w:rPr>
              <w:t>tienen supresión viral.</w:t>
            </w:r>
          </w:p>
        </w:tc>
        <w:tc>
          <w:tcPr>
            <w:tcW w:w="1360" w:type="dxa"/>
            <w:shd w:val="clear" w:color="auto" w:fill="001F5F"/>
          </w:tcPr>
          <w:p w14:paraId="4BCF435B" w14:textId="77777777" w:rsidR="00A36BA5" w:rsidRPr="00350D69" w:rsidRDefault="00A36BA5">
            <w:pPr>
              <w:pStyle w:val="TableParagraph"/>
              <w:spacing w:before="0"/>
              <w:rPr>
                <w:w w:val="90"/>
                <w:sz w:val="18"/>
                <w:szCs w:val="18"/>
              </w:rPr>
            </w:pPr>
          </w:p>
          <w:p w14:paraId="6957E953" w14:textId="77777777" w:rsidR="00A36BA5" w:rsidRPr="00350D69" w:rsidRDefault="008270BA">
            <w:pPr>
              <w:pStyle w:val="TableParagraph"/>
              <w:spacing w:before="1" w:line="256" w:lineRule="auto"/>
              <w:ind w:left="129" w:right="105" w:hanging="3"/>
              <w:jc w:val="center"/>
              <w:rPr>
                <w:b/>
                <w:w w:val="90"/>
                <w:sz w:val="18"/>
                <w:szCs w:val="18"/>
              </w:rPr>
            </w:pPr>
            <w:r w:rsidRPr="00350D69">
              <w:rPr>
                <w:b/>
                <w:color w:val="FFFFFF"/>
                <w:w w:val="90"/>
                <w:sz w:val="18"/>
                <w:szCs w:val="18"/>
              </w:rPr>
              <w:t>Porcentaje de la población que no está en atención ni tiene supresión viral.</w:t>
            </w:r>
          </w:p>
        </w:tc>
      </w:tr>
      <w:tr w:rsidR="00A36BA5" w:rsidRPr="008270BA" w14:paraId="4E361528" w14:textId="77777777">
        <w:trPr>
          <w:trHeight w:val="420"/>
        </w:trPr>
        <w:tc>
          <w:tcPr>
            <w:tcW w:w="3500" w:type="dxa"/>
          </w:tcPr>
          <w:p w14:paraId="2C7F0731" w14:textId="77777777" w:rsidR="00A36BA5" w:rsidRPr="008270BA" w:rsidRDefault="008270BA">
            <w:pPr>
              <w:pStyle w:val="TableParagraph"/>
              <w:ind w:left="117"/>
              <w:rPr>
                <w:w w:val="90"/>
                <w:sz w:val="24"/>
              </w:rPr>
            </w:pPr>
            <w:r w:rsidRPr="008270BA">
              <w:rPr>
                <w:w w:val="90"/>
                <w:sz w:val="24"/>
              </w:rPr>
              <w:t>Total</w:t>
            </w:r>
          </w:p>
        </w:tc>
        <w:tc>
          <w:tcPr>
            <w:tcW w:w="1200" w:type="dxa"/>
          </w:tcPr>
          <w:p w14:paraId="2043A929" w14:textId="77777777" w:rsidR="00A36BA5" w:rsidRPr="008270BA" w:rsidRDefault="008270BA">
            <w:pPr>
              <w:pStyle w:val="TableParagraph"/>
              <w:ind w:left="220" w:right="185"/>
              <w:jc w:val="center"/>
              <w:rPr>
                <w:w w:val="90"/>
                <w:sz w:val="24"/>
              </w:rPr>
            </w:pPr>
            <w:r w:rsidRPr="008270BA">
              <w:rPr>
                <w:w w:val="90"/>
                <w:sz w:val="24"/>
              </w:rPr>
              <w:t>14,873</w:t>
            </w:r>
          </w:p>
        </w:tc>
        <w:tc>
          <w:tcPr>
            <w:tcW w:w="820" w:type="dxa"/>
          </w:tcPr>
          <w:p w14:paraId="5EBD52E0" w14:textId="77777777" w:rsidR="00A36BA5" w:rsidRPr="008270BA" w:rsidRDefault="008270BA">
            <w:pPr>
              <w:pStyle w:val="TableParagraph"/>
              <w:ind w:left="55" w:right="22"/>
              <w:jc w:val="center"/>
              <w:rPr>
                <w:w w:val="90"/>
                <w:sz w:val="24"/>
              </w:rPr>
            </w:pPr>
            <w:r w:rsidRPr="008270BA">
              <w:rPr>
                <w:w w:val="90"/>
                <w:sz w:val="24"/>
              </w:rPr>
              <w:t>2,125</w:t>
            </w:r>
          </w:p>
        </w:tc>
        <w:tc>
          <w:tcPr>
            <w:tcW w:w="1340" w:type="dxa"/>
          </w:tcPr>
          <w:p w14:paraId="20213212" w14:textId="77777777" w:rsidR="00A36BA5" w:rsidRPr="008270BA" w:rsidRDefault="008270BA">
            <w:pPr>
              <w:pStyle w:val="TableParagraph"/>
              <w:ind w:left="68" w:right="24"/>
              <w:jc w:val="center"/>
              <w:rPr>
                <w:w w:val="90"/>
                <w:sz w:val="24"/>
              </w:rPr>
            </w:pPr>
            <w:r w:rsidRPr="008270BA">
              <w:rPr>
                <w:w w:val="90"/>
                <w:sz w:val="24"/>
              </w:rPr>
              <w:t>1,573</w:t>
            </w:r>
          </w:p>
        </w:tc>
        <w:tc>
          <w:tcPr>
            <w:tcW w:w="1360" w:type="dxa"/>
          </w:tcPr>
          <w:p w14:paraId="348A9616" w14:textId="77777777" w:rsidR="00A36BA5" w:rsidRPr="008270BA" w:rsidRDefault="008270BA">
            <w:pPr>
              <w:pStyle w:val="TableParagraph"/>
              <w:ind w:left="122" w:right="50"/>
              <w:jc w:val="center"/>
              <w:rPr>
                <w:w w:val="90"/>
                <w:sz w:val="24"/>
              </w:rPr>
            </w:pPr>
            <w:r w:rsidRPr="008270BA">
              <w:rPr>
                <w:w w:val="90"/>
                <w:sz w:val="24"/>
              </w:rPr>
              <w:t>3,698</w:t>
            </w:r>
          </w:p>
        </w:tc>
        <w:tc>
          <w:tcPr>
            <w:tcW w:w="1360" w:type="dxa"/>
          </w:tcPr>
          <w:p w14:paraId="43AC90A6" w14:textId="77777777" w:rsidR="00A36BA5" w:rsidRPr="008270BA" w:rsidRDefault="008270BA">
            <w:pPr>
              <w:pStyle w:val="TableParagraph"/>
              <w:ind w:left="68" w:right="44"/>
              <w:jc w:val="center"/>
              <w:rPr>
                <w:w w:val="90"/>
                <w:sz w:val="24"/>
              </w:rPr>
            </w:pPr>
            <w:r w:rsidRPr="008270BA">
              <w:rPr>
                <w:w w:val="90"/>
                <w:sz w:val="24"/>
              </w:rPr>
              <w:t>24,9%</w:t>
            </w:r>
          </w:p>
        </w:tc>
      </w:tr>
      <w:tr w:rsidR="00A36BA5" w:rsidRPr="008270BA" w14:paraId="40C9A2DA" w14:textId="77777777">
        <w:trPr>
          <w:trHeight w:val="440"/>
        </w:trPr>
        <w:tc>
          <w:tcPr>
            <w:tcW w:w="9580" w:type="dxa"/>
            <w:gridSpan w:val="6"/>
            <w:shd w:val="clear" w:color="auto" w:fill="D9D9D9"/>
          </w:tcPr>
          <w:p w14:paraId="0BD68C1B" w14:textId="77777777" w:rsidR="00A36BA5" w:rsidRPr="008270BA" w:rsidRDefault="008270BA">
            <w:pPr>
              <w:pStyle w:val="TableParagraph"/>
              <w:ind w:left="117"/>
              <w:rPr>
                <w:b/>
                <w:w w:val="90"/>
                <w:sz w:val="24"/>
              </w:rPr>
            </w:pPr>
            <w:r w:rsidRPr="008270BA">
              <w:rPr>
                <w:b/>
                <w:w w:val="90"/>
                <w:sz w:val="24"/>
              </w:rPr>
              <w:t>PWID</w:t>
            </w:r>
          </w:p>
        </w:tc>
      </w:tr>
      <w:tr w:rsidR="00A36BA5" w:rsidRPr="008270BA" w14:paraId="5414AAA0" w14:textId="77777777">
        <w:trPr>
          <w:trHeight w:val="420"/>
        </w:trPr>
        <w:tc>
          <w:tcPr>
            <w:tcW w:w="3500" w:type="dxa"/>
          </w:tcPr>
          <w:p w14:paraId="12796422" w14:textId="77777777" w:rsidR="00A36BA5" w:rsidRPr="008270BA" w:rsidRDefault="008270BA">
            <w:pPr>
              <w:pStyle w:val="TableParagraph"/>
              <w:spacing w:before="35"/>
              <w:ind w:left="117"/>
              <w:rPr>
                <w:w w:val="90"/>
                <w:sz w:val="24"/>
              </w:rPr>
            </w:pPr>
            <w:r w:rsidRPr="008270BA">
              <w:rPr>
                <w:w w:val="90"/>
                <w:sz w:val="24"/>
              </w:rPr>
              <w:t>PWID (Incluye MSM/PWID)</w:t>
            </w:r>
          </w:p>
        </w:tc>
        <w:tc>
          <w:tcPr>
            <w:tcW w:w="1200" w:type="dxa"/>
          </w:tcPr>
          <w:p w14:paraId="56032525" w14:textId="77777777" w:rsidR="00A36BA5" w:rsidRPr="008270BA" w:rsidRDefault="008270BA">
            <w:pPr>
              <w:pStyle w:val="TableParagraph"/>
              <w:spacing w:before="35"/>
              <w:ind w:left="219" w:right="185"/>
              <w:jc w:val="center"/>
              <w:rPr>
                <w:w w:val="90"/>
                <w:sz w:val="24"/>
              </w:rPr>
            </w:pPr>
            <w:r w:rsidRPr="008270BA">
              <w:rPr>
                <w:w w:val="90"/>
                <w:sz w:val="24"/>
              </w:rPr>
              <w:t>2,135</w:t>
            </w:r>
          </w:p>
        </w:tc>
        <w:tc>
          <w:tcPr>
            <w:tcW w:w="820" w:type="dxa"/>
          </w:tcPr>
          <w:p w14:paraId="51B4F081" w14:textId="77777777" w:rsidR="00A36BA5" w:rsidRPr="008270BA" w:rsidRDefault="008270BA">
            <w:pPr>
              <w:pStyle w:val="TableParagraph"/>
              <w:spacing w:before="35"/>
              <w:ind w:left="55" w:right="20"/>
              <w:jc w:val="center"/>
              <w:rPr>
                <w:w w:val="90"/>
                <w:sz w:val="24"/>
              </w:rPr>
            </w:pPr>
            <w:r w:rsidRPr="008270BA">
              <w:rPr>
                <w:w w:val="90"/>
                <w:sz w:val="24"/>
              </w:rPr>
              <w:t>294</w:t>
            </w:r>
          </w:p>
        </w:tc>
        <w:tc>
          <w:tcPr>
            <w:tcW w:w="1340" w:type="dxa"/>
          </w:tcPr>
          <w:p w14:paraId="257B6C91" w14:textId="77777777" w:rsidR="00A36BA5" w:rsidRPr="008270BA" w:rsidRDefault="008270BA">
            <w:pPr>
              <w:pStyle w:val="TableParagraph"/>
              <w:spacing w:before="35"/>
              <w:ind w:left="68" w:right="23"/>
              <w:jc w:val="center"/>
              <w:rPr>
                <w:w w:val="90"/>
                <w:sz w:val="24"/>
              </w:rPr>
            </w:pPr>
            <w:r w:rsidRPr="008270BA">
              <w:rPr>
                <w:w w:val="90"/>
                <w:sz w:val="24"/>
              </w:rPr>
              <w:t>262</w:t>
            </w:r>
          </w:p>
        </w:tc>
        <w:tc>
          <w:tcPr>
            <w:tcW w:w="1360" w:type="dxa"/>
          </w:tcPr>
          <w:p w14:paraId="0B00B924" w14:textId="77777777" w:rsidR="00A36BA5" w:rsidRPr="008270BA" w:rsidRDefault="008270BA">
            <w:pPr>
              <w:pStyle w:val="TableParagraph"/>
              <w:spacing w:before="35"/>
              <w:ind w:left="68" w:right="143"/>
              <w:jc w:val="center"/>
              <w:rPr>
                <w:w w:val="90"/>
                <w:sz w:val="24"/>
              </w:rPr>
            </w:pPr>
            <w:r w:rsidRPr="008270BA">
              <w:rPr>
                <w:w w:val="90"/>
                <w:sz w:val="24"/>
              </w:rPr>
              <w:t>56</w:t>
            </w:r>
          </w:p>
        </w:tc>
        <w:tc>
          <w:tcPr>
            <w:tcW w:w="1360" w:type="dxa"/>
          </w:tcPr>
          <w:p w14:paraId="35CB51FA" w14:textId="77777777" w:rsidR="00A36BA5" w:rsidRPr="008270BA" w:rsidRDefault="008270BA">
            <w:pPr>
              <w:pStyle w:val="TableParagraph"/>
              <w:spacing w:before="35"/>
              <w:ind w:left="68" w:right="44"/>
              <w:jc w:val="center"/>
              <w:rPr>
                <w:w w:val="90"/>
                <w:sz w:val="24"/>
              </w:rPr>
            </w:pPr>
            <w:r w:rsidRPr="008270BA">
              <w:rPr>
                <w:w w:val="90"/>
                <w:sz w:val="24"/>
              </w:rPr>
              <w:t>26.0%</w:t>
            </w:r>
          </w:p>
        </w:tc>
      </w:tr>
      <w:tr w:rsidR="00A36BA5" w:rsidRPr="008270BA" w14:paraId="0E5D2B57" w14:textId="77777777">
        <w:trPr>
          <w:trHeight w:val="420"/>
        </w:trPr>
        <w:tc>
          <w:tcPr>
            <w:tcW w:w="9580" w:type="dxa"/>
            <w:gridSpan w:val="6"/>
            <w:shd w:val="clear" w:color="auto" w:fill="D9D9D9"/>
          </w:tcPr>
          <w:p w14:paraId="37E2AEEA" w14:textId="77777777" w:rsidR="00A36BA5" w:rsidRPr="008270BA" w:rsidRDefault="008270BA">
            <w:pPr>
              <w:pStyle w:val="TableParagraph"/>
              <w:spacing w:before="35"/>
              <w:ind w:left="117"/>
              <w:rPr>
                <w:b/>
                <w:w w:val="90"/>
                <w:sz w:val="24"/>
              </w:rPr>
            </w:pPr>
            <w:r w:rsidRPr="008270BA">
              <w:rPr>
                <w:b/>
                <w:w w:val="90"/>
                <w:sz w:val="24"/>
              </w:rPr>
              <w:t>MSM</w:t>
            </w:r>
          </w:p>
        </w:tc>
      </w:tr>
      <w:tr w:rsidR="00A36BA5" w:rsidRPr="008270BA" w14:paraId="6D0FD154" w14:textId="77777777">
        <w:trPr>
          <w:trHeight w:val="420"/>
        </w:trPr>
        <w:tc>
          <w:tcPr>
            <w:tcW w:w="3500" w:type="dxa"/>
          </w:tcPr>
          <w:p w14:paraId="27546466" w14:textId="77777777" w:rsidR="00A36BA5" w:rsidRPr="008270BA" w:rsidRDefault="008270BA">
            <w:pPr>
              <w:pStyle w:val="TableParagraph"/>
              <w:spacing w:before="35"/>
              <w:ind w:left="117"/>
              <w:rPr>
                <w:w w:val="90"/>
                <w:sz w:val="24"/>
              </w:rPr>
            </w:pPr>
            <w:r w:rsidRPr="008270BA">
              <w:rPr>
                <w:w w:val="90"/>
                <w:sz w:val="24"/>
              </w:rPr>
              <w:t>MSM negros</w:t>
            </w:r>
          </w:p>
        </w:tc>
        <w:tc>
          <w:tcPr>
            <w:tcW w:w="1200" w:type="dxa"/>
          </w:tcPr>
          <w:p w14:paraId="6B9C74F1" w14:textId="77777777" w:rsidR="00A36BA5" w:rsidRPr="008270BA" w:rsidRDefault="008270BA">
            <w:pPr>
              <w:pStyle w:val="TableParagraph"/>
              <w:spacing w:before="35"/>
              <w:ind w:left="219" w:right="185"/>
              <w:jc w:val="center"/>
              <w:rPr>
                <w:w w:val="90"/>
                <w:sz w:val="24"/>
              </w:rPr>
            </w:pPr>
            <w:r w:rsidRPr="008270BA">
              <w:rPr>
                <w:w w:val="90"/>
                <w:sz w:val="24"/>
              </w:rPr>
              <w:t>3,83</w:t>
            </w:r>
          </w:p>
        </w:tc>
        <w:tc>
          <w:tcPr>
            <w:tcW w:w="820" w:type="dxa"/>
          </w:tcPr>
          <w:p w14:paraId="6C3F4439" w14:textId="77777777" w:rsidR="00A36BA5" w:rsidRPr="008270BA" w:rsidRDefault="008270BA">
            <w:pPr>
              <w:pStyle w:val="TableParagraph"/>
              <w:spacing w:before="35"/>
              <w:ind w:left="55" w:right="20"/>
              <w:jc w:val="center"/>
              <w:rPr>
                <w:w w:val="90"/>
                <w:sz w:val="24"/>
              </w:rPr>
            </w:pPr>
            <w:r w:rsidRPr="008270BA">
              <w:rPr>
                <w:w w:val="90"/>
                <w:sz w:val="24"/>
              </w:rPr>
              <w:t>605</w:t>
            </w:r>
          </w:p>
        </w:tc>
        <w:tc>
          <w:tcPr>
            <w:tcW w:w="1340" w:type="dxa"/>
          </w:tcPr>
          <w:p w14:paraId="52293684" w14:textId="77777777" w:rsidR="00A36BA5" w:rsidRPr="008270BA" w:rsidRDefault="008270BA">
            <w:pPr>
              <w:pStyle w:val="TableParagraph"/>
              <w:spacing w:before="35"/>
              <w:ind w:left="68" w:right="23"/>
              <w:jc w:val="center"/>
              <w:rPr>
                <w:w w:val="90"/>
                <w:sz w:val="24"/>
              </w:rPr>
            </w:pPr>
            <w:r w:rsidRPr="008270BA">
              <w:rPr>
                <w:w w:val="90"/>
                <w:sz w:val="24"/>
              </w:rPr>
              <w:t>464</w:t>
            </w:r>
          </w:p>
        </w:tc>
        <w:tc>
          <w:tcPr>
            <w:tcW w:w="1360" w:type="dxa"/>
          </w:tcPr>
          <w:p w14:paraId="121D50E1" w14:textId="77777777" w:rsidR="00A36BA5" w:rsidRPr="008270BA" w:rsidRDefault="008270BA">
            <w:pPr>
              <w:pStyle w:val="TableParagraph"/>
              <w:spacing w:before="35"/>
              <w:ind w:left="68" w:right="5"/>
              <w:jc w:val="center"/>
              <w:rPr>
                <w:w w:val="90"/>
                <w:sz w:val="24"/>
              </w:rPr>
            </w:pPr>
            <w:r w:rsidRPr="008270BA">
              <w:rPr>
                <w:w w:val="90"/>
                <w:sz w:val="24"/>
              </w:rPr>
              <w:t>1069</w:t>
            </w:r>
          </w:p>
        </w:tc>
        <w:tc>
          <w:tcPr>
            <w:tcW w:w="1360" w:type="dxa"/>
          </w:tcPr>
          <w:p w14:paraId="09B482EF" w14:textId="77777777" w:rsidR="00A36BA5" w:rsidRPr="008270BA" w:rsidRDefault="008270BA">
            <w:pPr>
              <w:pStyle w:val="TableParagraph"/>
              <w:spacing w:before="35"/>
              <w:ind w:left="68" w:right="44"/>
              <w:jc w:val="center"/>
              <w:rPr>
                <w:w w:val="90"/>
                <w:sz w:val="24"/>
              </w:rPr>
            </w:pPr>
            <w:r w:rsidRPr="008270BA">
              <w:rPr>
                <w:w w:val="90"/>
                <w:sz w:val="24"/>
              </w:rPr>
              <w:t>27.9%</w:t>
            </w:r>
          </w:p>
        </w:tc>
      </w:tr>
      <w:tr w:rsidR="00A36BA5" w:rsidRPr="008270BA" w14:paraId="11E1297D" w14:textId="77777777">
        <w:trPr>
          <w:trHeight w:val="680"/>
        </w:trPr>
        <w:tc>
          <w:tcPr>
            <w:tcW w:w="3500" w:type="dxa"/>
          </w:tcPr>
          <w:p w14:paraId="12DE80CC" w14:textId="77777777" w:rsidR="00A36BA5" w:rsidRPr="008270BA" w:rsidRDefault="008270BA">
            <w:pPr>
              <w:pStyle w:val="TableParagraph"/>
              <w:spacing w:before="35"/>
              <w:ind w:left="117"/>
              <w:rPr>
                <w:w w:val="90"/>
                <w:sz w:val="24"/>
              </w:rPr>
            </w:pPr>
            <w:r w:rsidRPr="008270BA">
              <w:rPr>
                <w:w w:val="90"/>
                <w:sz w:val="24"/>
              </w:rPr>
              <w:t>MSM latinos</w:t>
            </w:r>
          </w:p>
        </w:tc>
        <w:tc>
          <w:tcPr>
            <w:tcW w:w="1200" w:type="dxa"/>
          </w:tcPr>
          <w:p w14:paraId="7CFFE08E" w14:textId="77777777" w:rsidR="00A36BA5" w:rsidRPr="008270BA" w:rsidRDefault="008270BA">
            <w:pPr>
              <w:pStyle w:val="TableParagraph"/>
              <w:spacing w:before="35"/>
              <w:ind w:left="220" w:right="184"/>
              <w:jc w:val="center"/>
              <w:rPr>
                <w:w w:val="90"/>
                <w:sz w:val="24"/>
              </w:rPr>
            </w:pPr>
            <w:r w:rsidRPr="008270BA">
              <w:rPr>
                <w:w w:val="90"/>
                <w:sz w:val="24"/>
              </w:rPr>
              <w:t>868</w:t>
            </w:r>
          </w:p>
        </w:tc>
        <w:tc>
          <w:tcPr>
            <w:tcW w:w="820" w:type="dxa"/>
          </w:tcPr>
          <w:p w14:paraId="7F56AE9A" w14:textId="77777777" w:rsidR="00A36BA5" w:rsidRPr="008270BA" w:rsidRDefault="008270BA">
            <w:pPr>
              <w:pStyle w:val="TableParagraph"/>
              <w:spacing w:before="35"/>
              <w:ind w:left="55" w:right="20"/>
              <w:jc w:val="center"/>
              <w:rPr>
                <w:w w:val="90"/>
                <w:sz w:val="24"/>
              </w:rPr>
            </w:pPr>
            <w:r w:rsidRPr="008270BA">
              <w:rPr>
                <w:w w:val="90"/>
                <w:sz w:val="24"/>
              </w:rPr>
              <w:t>159</w:t>
            </w:r>
          </w:p>
        </w:tc>
        <w:tc>
          <w:tcPr>
            <w:tcW w:w="1340" w:type="dxa"/>
          </w:tcPr>
          <w:p w14:paraId="3B755670" w14:textId="77777777" w:rsidR="00A36BA5" w:rsidRPr="008270BA" w:rsidRDefault="008270BA">
            <w:pPr>
              <w:pStyle w:val="TableParagraph"/>
              <w:spacing w:before="35"/>
              <w:ind w:left="68" w:right="25"/>
              <w:jc w:val="center"/>
              <w:rPr>
                <w:w w:val="90"/>
                <w:sz w:val="24"/>
              </w:rPr>
            </w:pPr>
            <w:r w:rsidRPr="008270BA">
              <w:rPr>
                <w:w w:val="90"/>
                <w:sz w:val="24"/>
              </w:rPr>
              <w:t>90</w:t>
            </w:r>
          </w:p>
        </w:tc>
        <w:tc>
          <w:tcPr>
            <w:tcW w:w="1360" w:type="dxa"/>
          </w:tcPr>
          <w:p w14:paraId="1F81D058" w14:textId="77777777" w:rsidR="00A36BA5" w:rsidRPr="008270BA" w:rsidRDefault="008270BA">
            <w:pPr>
              <w:pStyle w:val="TableParagraph"/>
              <w:spacing w:before="35"/>
              <w:ind w:left="68" w:right="12"/>
              <w:jc w:val="center"/>
              <w:rPr>
                <w:w w:val="90"/>
                <w:sz w:val="24"/>
              </w:rPr>
            </w:pPr>
            <w:r w:rsidRPr="008270BA">
              <w:rPr>
                <w:w w:val="90"/>
                <w:sz w:val="24"/>
              </w:rPr>
              <w:t>249</w:t>
            </w:r>
          </w:p>
        </w:tc>
        <w:tc>
          <w:tcPr>
            <w:tcW w:w="1360" w:type="dxa"/>
          </w:tcPr>
          <w:p w14:paraId="522288A6" w14:textId="77777777" w:rsidR="00A36BA5" w:rsidRPr="008270BA" w:rsidRDefault="008270BA">
            <w:pPr>
              <w:pStyle w:val="TableParagraph"/>
              <w:spacing w:before="35"/>
              <w:ind w:left="68" w:right="44"/>
              <w:jc w:val="center"/>
              <w:rPr>
                <w:w w:val="90"/>
                <w:sz w:val="24"/>
              </w:rPr>
            </w:pPr>
            <w:r w:rsidRPr="008270BA">
              <w:rPr>
                <w:w w:val="90"/>
                <w:sz w:val="24"/>
              </w:rPr>
              <w:t>28.7%</w:t>
            </w:r>
          </w:p>
        </w:tc>
      </w:tr>
      <w:tr w:rsidR="00A36BA5" w:rsidRPr="008270BA" w14:paraId="0D0A3850" w14:textId="77777777">
        <w:trPr>
          <w:trHeight w:val="420"/>
        </w:trPr>
        <w:tc>
          <w:tcPr>
            <w:tcW w:w="3500" w:type="dxa"/>
          </w:tcPr>
          <w:p w14:paraId="06016A71" w14:textId="77777777" w:rsidR="00A36BA5" w:rsidRPr="008270BA" w:rsidRDefault="008270BA">
            <w:pPr>
              <w:pStyle w:val="TableParagraph"/>
              <w:spacing w:before="35"/>
              <w:ind w:left="117"/>
              <w:rPr>
                <w:w w:val="90"/>
                <w:sz w:val="24"/>
              </w:rPr>
            </w:pPr>
            <w:r w:rsidRPr="008270BA">
              <w:rPr>
                <w:w w:val="90"/>
                <w:sz w:val="24"/>
              </w:rPr>
              <w:t>MSM multirracial</w:t>
            </w:r>
          </w:p>
        </w:tc>
        <w:tc>
          <w:tcPr>
            <w:tcW w:w="1200" w:type="dxa"/>
          </w:tcPr>
          <w:p w14:paraId="7F5D3635" w14:textId="77777777" w:rsidR="00A36BA5" w:rsidRPr="008270BA" w:rsidRDefault="008270BA">
            <w:pPr>
              <w:pStyle w:val="TableParagraph"/>
              <w:spacing w:before="35"/>
              <w:ind w:left="220" w:right="184"/>
              <w:jc w:val="center"/>
              <w:rPr>
                <w:w w:val="90"/>
                <w:sz w:val="24"/>
              </w:rPr>
            </w:pPr>
            <w:r w:rsidRPr="008270BA">
              <w:rPr>
                <w:w w:val="90"/>
                <w:sz w:val="24"/>
              </w:rPr>
              <w:t>180</w:t>
            </w:r>
          </w:p>
        </w:tc>
        <w:tc>
          <w:tcPr>
            <w:tcW w:w="820" w:type="dxa"/>
          </w:tcPr>
          <w:p w14:paraId="35F58232" w14:textId="77777777" w:rsidR="00A36BA5" w:rsidRPr="008270BA" w:rsidRDefault="008270BA">
            <w:pPr>
              <w:pStyle w:val="TableParagraph"/>
              <w:spacing w:before="35"/>
              <w:ind w:left="55" w:right="20"/>
              <w:jc w:val="center"/>
              <w:rPr>
                <w:w w:val="90"/>
                <w:sz w:val="24"/>
              </w:rPr>
            </w:pPr>
            <w:r w:rsidRPr="008270BA">
              <w:rPr>
                <w:w w:val="90"/>
                <w:sz w:val="24"/>
              </w:rPr>
              <w:t>20</w:t>
            </w:r>
          </w:p>
        </w:tc>
        <w:tc>
          <w:tcPr>
            <w:tcW w:w="1340" w:type="dxa"/>
          </w:tcPr>
          <w:p w14:paraId="26908438" w14:textId="77777777" w:rsidR="00A36BA5" w:rsidRPr="008270BA" w:rsidRDefault="008270BA">
            <w:pPr>
              <w:pStyle w:val="TableParagraph"/>
              <w:spacing w:before="35"/>
              <w:ind w:left="68" w:right="25"/>
              <w:jc w:val="center"/>
              <w:rPr>
                <w:w w:val="90"/>
                <w:sz w:val="24"/>
              </w:rPr>
            </w:pPr>
            <w:r w:rsidRPr="008270BA">
              <w:rPr>
                <w:w w:val="90"/>
                <w:sz w:val="24"/>
              </w:rPr>
              <w:t>26</w:t>
            </w:r>
          </w:p>
        </w:tc>
        <w:tc>
          <w:tcPr>
            <w:tcW w:w="1360" w:type="dxa"/>
          </w:tcPr>
          <w:p w14:paraId="112D19D6" w14:textId="77777777" w:rsidR="00A36BA5" w:rsidRPr="008270BA" w:rsidRDefault="008270BA">
            <w:pPr>
              <w:pStyle w:val="TableParagraph"/>
              <w:spacing w:before="35"/>
              <w:ind w:left="68" w:right="143"/>
              <w:jc w:val="center"/>
              <w:rPr>
                <w:w w:val="90"/>
                <w:sz w:val="24"/>
              </w:rPr>
            </w:pPr>
            <w:r w:rsidRPr="008270BA">
              <w:rPr>
                <w:w w:val="90"/>
                <w:sz w:val="24"/>
              </w:rPr>
              <w:t>46</w:t>
            </w:r>
          </w:p>
        </w:tc>
        <w:tc>
          <w:tcPr>
            <w:tcW w:w="1360" w:type="dxa"/>
          </w:tcPr>
          <w:p w14:paraId="0A44D0C8" w14:textId="77777777" w:rsidR="00A36BA5" w:rsidRPr="008270BA" w:rsidRDefault="008270BA">
            <w:pPr>
              <w:pStyle w:val="TableParagraph"/>
              <w:spacing w:before="35"/>
              <w:ind w:left="68" w:right="44"/>
              <w:jc w:val="center"/>
              <w:rPr>
                <w:w w:val="90"/>
                <w:sz w:val="24"/>
              </w:rPr>
            </w:pPr>
            <w:r w:rsidRPr="008270BA">
              <w:rPr>
                <w:w w:val="90"/>
                <w:sz w:val="24"/>
              </w:rPr>
              <w:t>25.5%</w:t>
            </w:r>
          </w:p>
        </w:tc>
      </w:tr>
      <w:tr w:rsidR="00A36BA5" w:rsidRPr="008270BA" w14:paraId="2336271E" w14:textId="77777777">
        <w:trPr>
          <w:trHeight w:val="420"/>
        </w:trPr>
        <w:tc>
          <w:tcPr>
            <w:tcW w:w="3500" w:type="dxa"/>
          </w:tcPr>
          <w:p w14:paraId="5C1F1C9E" w14:textId="77777777" w:rsidR="00A36BA5" w:rsidRPr="008270BA" w:rsidRDefault="008270BA">
            <w:pPr>
              <w:pStyle w:val="TableParagraph"/>
              <w:ind w:left="117"/>
              <w:rPr>
                <w:w w:val="90"/>
                <w:sz w:val="24"/>
              </w:rPr>
            </w:pPr>
            <w:r w:rsidRPr="008270BA">
              <w:rPr>
                <w:w w:val="90"/>
                <w:sz w:val="24"/>
              </w:rPr>
              <w:t>MSM blancos</w:t>
            </w:r>
          </w:p>
        </w:tc>
        <w:tc>
          <w:tcPr>
            <w:tcW w:w="1200" w:type="dxa"/>
          </w:tcPr>
          <w:p w14:paraId="3099C526" w14:textId="77777777" w:rsidR="00A36BA5" w:rsidRPr="008270BA" w:rsidRDefault="008270BA">
            <w:pPr>
              <w:pStyle w:val="TableParagraph"/>
              <w:ind w:left="219" w:right="185"/>
              <w:jc w:val="center"/>
              <w:rPr>
                <w:w w:val="90"/>
                <w:sz w:val="24"/>
              </w:rPr>
            </w:pPr>
            <w:r w:rsidRPr="008270BA">
              <w:rPr>
                <w:w w:val="90"/>
                <w:sz w:val="24"/>
              </w:rPr>
              <w:t>1,531</w:t>
            </w:r>
          </w:p>
        </w:tc>
        <w:tc>
          <w:tcPr>
            <w:tcW w:w="820" w:type="dxa"/>
          </w:tcPr>
          <w:p w14:paraId="162CFDED" w14:textId="77777777" w:rsidR="00A36BA5" w:rsidRPr="008270BA" w:rsidRDefault="008270BA">
            <w:pPr>
              <w:pStyle w:val="TableParagraph"/>
              <w:ind w:left="55" w:right="20"/>
              <w:jc w:val="center"/>
              <w:rPr>
                <w:w w:val="90"/>
                <w:sz w:val="24"/>
              </w:rPr>
            </w:pPr>
            <w:r w:rsidRPr="008270BA">
              <w:rPr>
                <w:w w:val="90"/>
                <w:sz w:val="24"/>
              </w:rPr>
              <w:t>232</w:t>
            </w:r>
          </w:p>
        </w:tc>
        <w:tc>
          <w:tcPr>
            <w:tcW w:w="1340" w:type="dxa"/>
          </w:tcPr>
          <w:p w14:paraId="57162CA3" w14:textId="77777777" w:rsidR="00A36BA5" w:rsidRPr="008270BA" w:rsidRDefault="008270BA">
            <w:pPr>
              <w:pStyle w:val="TableParagraph"/>
              <w:ind w:left="68" w:right="25"/>
              <w:jc w:val="center"/>
              <w:rPr>
                <w:w w:val="90"/>
                <w:sz w:val="24"/>
              </w:rPr>
            </w:pPr>
            <w:r w:rsidRPr="008270BA">
              <w:rPr>
                <w:w w:val="90"/>
                <w:sz w:val="24"/>
              </w:rPr>
              <w:t>74</w:t>
            </w:r>
          </w:p>
        </w:tc>
        <w:tc>
          <w:tcPr>
            <w:tcW w:w="1360" w:type="dxa"/>
          </w:tcPr>
          <w:p w14:paraId="08BB4442" w14:textId="77777777" w:rsidR="00A36BA5" w:rsidRPr="008270BA" w:rsidRDefault="008270BA">
            <w:pPr>
              <w:pStyle w:val="TableParagraph"/>
              <w:ind w:left="68" w:right="12"/>
              <w:jc w:val="center"/>
              <w:rPr>
                <w:w w:val="90"/>
                <w:sz w:val="24"/>
              </w:rPr>
            </w:pPr>
            <w:r w:rsidRPr="008270BA">
              <w:rPr>
                <w:w w:val="90"/>
                <w:sz w:val="24"/>
              </w:rPr>
              <w:t>306</w:t>
            </w:r>
          </w:p>
        </w:tc>
        <w:tc>
          <w:tcPr>
            <w:tcW w:w="1360" w:type="dxa"/>
          </w:tcPr>
          <w:p w14:paraId="13363FB1" w14:textId="77777777" w:rsidR="00A36BA5" w:rsidRPr="008270BA" w:rsidRDefault="008270BA">
            <w:pPr>
              <w:pStyle w:val="TableParagraph"/>
              <w:ind w:left="68" w:right="44"/>
              <w:jc w:val="center"/>
              <w:rPr>
                <w:w w:val="90"/>
                <w:sz w:val="24"/>
              </w:rPr>
            </w:pPr>
            <w:r w:rsidRPr="008270BA">
              <w:rPr>
                <w:w w:val="90"/>
                <w:sz w:val="24"/>
              </w:rPr>
              <w:t>20.0%</w:t>
            </w:r>
          </w:p>
        </w:tc>
      </w:tr>
      <w:tr w:rsidR="00A36BA5" w:rsidRPr="008270BA" w14:paraId="2FD6017D" w14:textId="77777777">
        <w:trPr>
          <w:trHeight w:val="420"/>
        </w:trPr>
        <w:tc>
          <w:tcPr>
            <w:tcW w:w="3500" w:type="dxa"/>
          </w:tcPr>
          <w:p w14:paraId="6F877E1E" w14:textId="77777777" w:rsidR="00A36BA5" w:rsidRPr="008270BA" w:rsidRDefault="008270BA">
            <w:pPr>
              <w:pStyle w:val="TableParagraph"/>
              <w:ind w:left="117"/>
              <w:rPr>
                <w:w w:val="90"/>
                <w:sz w:val="24"/>
              </w:rPr>
            </w:pPr>
            <w:r w:rsidRPr="008270BA">
              <w:rPr>
                <w:w w:val="90"/>
                <w:sz w:val="24"/>
              </w:rPr>
              <w:t>MSM Asiático/PI</w:t>
            </w:r>
          </w:p>
        </w:tc>
        <w:tc>
          <w:tcPr>
            <w:tcW w:w="1200" w:type="dxa"/>
          </w:tcPr>
          <w:p w14:paraId="3BFE2508" w14:textId="77777777" w:rsidR="00A36BA5" w:rsidRPr="008270BA" w:rsidRDefault="008270BA">
            <w:pPr>
              <w:pStyle w:val="TableParagraph"/>
              <w:ind w:left="218" w:right="185"/>
              <w:jc w:val="center"/>
              <w:rPr>
                <w:w w:val="90"/>
                <w:sz w:val="24"/>
              </w:rPr>
            </w:pPr>
            <w:r w:rsidRPr="008270BA">
              <w:rPr>
                <w:w w:val="90"/>
                <w:sz w:val="24"/>
              </w:rPr>
              <w:t>80</w:t>
            </w:r>
          </w:p>
        </w:tc>
        <w:tc>
          <w:tcPr>
            <w:tcW w:w="820" w:type="dxa"/>
          </w:tcPr>
          <w:p w14:paraId="1FDF7F8C" w14:textId="77777777" w:rsidR="00A36BA5" w:rsidRPr="008270BA" w:rsidRDefault="008270BA">
            <w:pPr>
              <w:pStyle w:val="TableParagraph"/>
              <w:ind w:left="55" w:right="18"/>
              <w:jc w:val="center"/>
              <w:rPr>
                <w:w w:val="90"/>
                <w:sz w:val="24"/>
              </w:rPr>
            </w:pPr>
            <w:r w:rsidRPr="008270BA">
              <w:rPr>
                <w:w w:val="90"/>
                <w:sz w:val="24"/>
              </w:rPr>
              <w:t>11</w:t>
            </w:r>
          </w:p>
        </w:tc>
        <w:tc>
          <w:tcPr>
            <w:tcW w:w="1340" w:type="dxa"/>
          </w:tcPr>
          <w:p w14:paraId="5C2CD6F4" w14:textId="77777777" w:rsidR="00A36BA5" w:rsidRPr="008270BA" w:rsidRDefault="008270BA">
            <w:pPr>
              <w:pStyle w:val="TableParagraph"/>
              <w:ind w:left="35"/>
              <w:jc w:val="center"/>
              <w:rPr>
                <w:w w:val="90"/>
                <w:sz w:val="24"/>
              </w:rPr>
            </w:pPr>
            <w:r w:rsidRPr="008270BA">
              <w:rPr>
                <w:w w:val="90"/>
                <w:sz w:val="24"/>
              </w:rPr>
              <w:t>*</w:t>
            </w:r>
          </w:p>
        </w:tc>
        <w:tc>
          <w:tcPr>
            <w:tcW w:w="1360" w:type="dxa"/>
          </w:tcPr>
          <w:p w14:paraId="3F3F3837" w14:textId="77777777" w:rsidR="00A36BA5" w:rsidRPr="008270BA" w:rsidRDefault="008270BA">
            <w:pPr>
              <w:pStyle w:val="TableParagraph"/>
              <w:ind w:left="16"/>
              <w:jc w:val="center"/>
              <w:rPr>
                <w:w w:val="90"/>
                <w:sz w:val="24"/>
              </w:rPr>
            </w:pPr>
            <w:r w:rsidRPr="008270BA">
              <w:rPr>
                <w:w w:val="90"/>
                <w:sz w:val="24"/>
              </w:rPr>
              <w:t>*</w:t>
            </w:r>
          </w:p>
        </w:tc>
        <w:tc>
          <w:tcPr>
            <w:tcW w:w="1360" w:type="dxa"/>
          </w:tcPr>
          <w:p w14:paraId="775C6D32" w14:textId="77777777" w:rsidR="00A36BA5" w:rsidRPr="008270BA" w:rsidRDefault="008270BA">
            <w:pPr>
              <w:pStyle w:val="TableParagraph"/>
              <w:ind w:left="18"/>
              <w:jc w:val="center"/>
              <w:rPr>
                <w:w w:val="90"/>
                <w:sz w:val="24"/>
              </w:rPr>
            </w:pPr>
            <w:r w:rsidRPr="008270BA">
              <w:rPr>
                <w:w w:val="90"/>
                <w:sz w:val="24"/>
              </w:rPr>
              <w:t>*</w:t>
            </w:r>
          </w:p>
        </w:tc>
      </w:tr>
      <w:tr w:rsidR="00A36BA5" w:rsidRPr="008270BA" w14:paraId="7535ECED" w14:textId="77777777">
        <w:trPr>
          <w:trHeight w:val="420"/>
        </w:trPr>
        <w:tc>
          <w:tcPr>
            <w:tcW w:w="3500" w:type="dxa"/>
          </w:tcPr>
          <w:p w14:paraId="4003E8A9" w14:textId="77777777" w:rsidR="00A36BA5" w:rsidRPr="008270BA" w:rsidRDefault="008270BA">
            <w:pPr>
              <w:pStyle w:val="TableParagraph"/>
              <w:ind w:left="117"/>
              <w:rPr>
                <w:w w:val="90"/>
                <w:sz w:val="24"/>
              </w:rPr>
            </w:pPr>
            <w:r w:rsidRPr="008270BA">
              <w:rPr>
                <w:w w:val="90"/>
                <w:sz w:val="24"/>
              </w:rPr>
              <w:t>MSM amerindio</w:t>
            </w:r>
          </w:p>
        </w:tc>
        <w:tc>
          <w:tcPr>
            <w:tcW w:w="1200" w:type="dxa"/>
          </w:tcPr>
          <w:p w14:paraId="71016379" w14:textId="77777777" w:rsidR="00A36BA5" w:rsidRPr="008270BA" w:rsidRDefault="008270BA">
            <w:pPr>
              <w:pStyle w:val="TableParagraph"/>
              <w:ind w:left="214" w:right="185"/>
              <w:jc w:val="center"/>
              <w:rPr>
                <w:w w:val="90"/>
                <w:sz w:val="24"/>
              </w:rPr>
            </w:pPr>
            <w:r w:rsidRPr="008270BA">
              <w:rPr>
                <w:w w:val="90"/>
                <w:sz w:val="24"/>
              </w:rPr>
              <w:t>10</w:t>
            </w:r>
          </w:p>
        </w:tc>
        <w:tc>
          <w:tcPr>
            <w:tcW w:w="820" w:type="dxa"/>
          </w:tcPr>
          <w:p w14:paraId="5D520F1E" w14:textId="77777777" w:rsidR="00A36BA5" w:rsidRPr="008270BA" w:rsidRDefault="008270BA">
            <w:pPr>
              <w:pStyle w:val="TableParagraph"/>
              <w:ind w:left="25"/>
              <w:jc w:val="center"/>
              <w:rPr>
                <w:w w:val="90"/>
                <w:sz w:val="24"/>
              </w:rPr>
            </w:pPr>
            <w:r w:rsidRPr="008270BA">
              <w:rPr>
                <w:w w:val="90"/>
                <w:sz w:val="24"/>
              </w:rPr>
              <w:t>*</w:t>
            </w:r>
          </w:p>
        </w:tc>
        <w:tc>
          <w:tcPr>
            <w:tcW w:w="1340" w:type="dxa"/>
          </w:tcPr>
          <w:p w14:paraId="301ADCF9" w14:textId="77777777" w:rsidR="00A36BA5" w:rsidRPr="008270BA" w:rsidRDefault="008270BA">
            <w:pPr>
              <w:pStyle w:val="TableParagraph"/>
              <w:ind w:left="35"/>
              <w:jc w:val="center"/>
              <w:rPr>
                <w:w w:val="90"/>
                <w:sz w:val="24"/>
              </w:rPr>
            </w:pPr>
            <w:r w:rsidRPr="008270BA">
              <w:rPr>
                <w:w w:val="90"/>
                <w:sz w:val="24"/>
              </w:rPr>
              <w:t>*</w:t>
            </w:r>
          </w:p>
        </w:tc>
        <w:tc>
          <w:tcPr>
            <w:tcW w:w="1360" w:type="dxa"/>
          </w:tcPr>
          <w:p w14:paraId="119C0597" w14:textId="77777777" w:rsidR="00A36BA5" w:rsidRPr="008270BA" w:rsidRDefault="008270BA">
            <w:pPr>
              <w:pStyle w:val="TableParagraph"/>
              <w:ind w:left="16"/>
              <w:jc w:val="center"/>
              <w:rPr>
                <w:w w:val="90"/>
                <w:sz w:val="24"/>
              </w:rPr>
            </w:pPr>
            <w:r w:rsidRPr="008270BA">
              <w:rPr>
                <w:w w:val="90"/>
                <w:sz w:val="24"/>
              </w:rPr>
              <w:t>*</w:t>
            </w:r>
          </w:p>
        </w:tc>
        <w:tc>
          <w:tcPr>
            <w:tcW w:w="1360" w:type="dxa"/>
          </w:tcPr>
          <w:p w14:paraId="298F301F" w14:textId="77777777" w:rsidR="00A36BA5" w:rsidRPr="008270BA" w:rsidRDefault="008270BA">
            <w:pPr>
              <w:pStyle w:val="TableParagraph"/>
              <w:ind w:left="18"/>
              <w:jc w:val="center"/>
              <w:rPr>
                <w:w w:val="90"/>
                <w:sz w:val="24"/>
              </w:rPr>
            </w:pPr>
            <w:r w:rsidRPr="008270BA">
              <w:rPr>
                <w:w w:val="90"/>
                <w:sz w:val="24"/>
              </w:rPr>
              <w:t>*</w:t>
            </w:r>
          </w:p>
        </w:tc>
      </w:tr>
      <w:tr w:rsidR="00A36BA5" w:rsidRPr="008270BA" w14:paraId="171F7B89" w14:textId="77777777">
        <w:trPr>
          <w:trHeight w:val="420"/>
        </w:trPr>
        <w:tc>
          <w:tcPr>
            <w:tcW w:w="9580" w:type="dxa"/>
            <w:gridSpan w:val="6"/>
            <w:shd w:val="clear" w:color="auto" w:fill="D9D9D9"/>
          </w:tcPr>
          <w:p w14:paraId="30CF2DDE" w14:textId="77777777" w:rsidR="00A36BA5" w:rsidRPr="008270BA" w:rsidRDefault="008270BA">
            <w:pPr>
              <w:pStyle w:val="TableParagraph"/>
              <w:ind w:left="117"/>
              <w:rPr>
                <w:b/>
                <w:w w:val="90"/>
                <w:sz w:val="24"/>
              </w:rPr>
            </w:pPr>
            <w:r w:rsidRPr="008270BA">
              <w:rPr>
                <w:b/>
                <w:w w:val="90"/>
                <w:sz w:val="24"/>
              </w:rPr>
              <w:t>Transgénero</w:t>
            </w:r>
          </w:p>
        </w:tc>
      </w:tr>
      <w:tr w:rsidR="00A36BA5" w:rsidRPr="008270BA" w14:paraId="0E330783" w14:textId="77777777">
        <w:trPr>
          <w:trHeight w:val="420"/>
        </w:trPr>
        <w:tc>
          <w:tcPr>
            <w:tcW w:w="3500" w:type="dxa"/>
          </w:tcPr>
          <w:p w14:paraId="2DD3011A" w14:textId="77777777" w:rsidR="00A36BA5" w:rsidRPr="008270BA" w:rsidRDefault="008270BA">
            <w:pPr>
              <w:pStyle w:val="TableParagraph"/>
              <w:ind w:left="117"/>
              <w:rPr>
                <w:w w:val="90"/>
                <w:sz w:val="24"/>
              </w:rPr>
            </w:pPr>
            <w:r w:rsidRPr="008270BA">
              <w:rPr>
                <w:w w:val="90"/>
                <w:sz w:val="24"/>
              </w:rPr>
              <w:t>Contacto sexual</w:t>
            </w:r>
          </w:p>
        </w:tc>
        <w:tc>
          <w:tcPr>
            <w:tcW w:w="1200" w:type="dxa"/>
          </w:tcPr>
          <w:p w14:paraId="12DDFD1E" w14:textId="77777777" w:rsidR="00A36BA5" w:rsidRPr="008270BA" w:rsidRDefault="008270BA">
            <w:pPr>
              <w:pStyle w:val="TableParagraph"/>
              <w:ind w:left="220" w:right="184"/>
              <w:jc w:val="center"/>
              <w:rPr>
                <w:w w:val="90"/>
                <w:sz w:val="24"/>
              </w:rPr>
            </w:pPr>
            <w:r w:rsidRPr="008270BA">
              <w:rPr>
                <w:w w:val="90"/>
                <w:sz w:val="24"/>
              </w:rPr>
              <w:t>250</w:t>
            </w:r>
          </w:p>
        </w:tc>
        <w:tc>
          <w:tcPr>
            <w:tcW w:w="820" w:type="dxa"/>
          </w:tcPr>
          <w:p w14:paraId="694423FD" w14:textId="77777777" w:rsidR="00A36BA5" w:rsidRPr="008270BA" w:rsidRDefault="008270BA">
            <w:pPr>
              <w:pStyle w:val="TableParagraph"/>
              <w:ind w:left="55" w:right="18"/>
              <w:jc w:val="center"/>
              <w:rPr>
                <w:w w:val="90"/>
                <w:sz w:val="24"/>
              </w:rPr>
            </w:pPr>
            <w:r w:rsidRPr="008270BA">
              <w:rPr>
                <w:w w:val="90"/>
                <w:sz w:val="24"/>
              </w:rPr>
              <w:t>34</w:t>
            </w:r>
          </w:p>
        </w:tc>
        <w:tc>
          <w:tcPr>
            <w:tcW w:w="1340" w:type="dxa"/>
          </w:tcPr>
          <w:p w14:paraId="762594AC" w14:textId="77777777" w:rsidR="00A36BA5" w:rsidRPr="008270BA" w:rsidRDefault="008270BA">
            <w:pPr>
              <w:pStyle w:val="TableParagraph"/>
              <w:ind w:left="68" w:right="25"/>
              <w:jc w:val="center"/>
              <w:rPr>
                <w:w w:val="90"/>
                <w:sz w:val="24"/>
              </w:rPr>
            </w:pPr>
            <w:r w:rsidRPr="008270BA">
              <w:rPr>
                <w:w w:val="90"/>
                <w:sz w:val="24"/>
              </w:rPr>
              <w:t>41</w:t>
            </w:r>
          </w:p>
        </w:tc>
        <w:tc>
          <w:tcPr>
            <w:tcW w:w="1360" w:type="dxa"/>
          </w:tcPr>
          <w:p w14:paraId="1AC57CAD" w14:textId="77777777" w:rsidR="00A36BA5" w:rsidRPr="008270BA" w:rsidRDefault="008270BA">
            <w:pPr>
              <w:pStyle w:val="TableParagraph"/>
              <w:ind w:left="68" w:right="46"/>
              <w:jc w:val="center"/>
              <w:rPr>
                <w:w w:val="90"/>
                <w:sz w:val="24"/>
              </w:rPr>
            </w:pPr>
            <w:r w:rsidRPr="008270BA">
              <w:rPr>
                <w:w w:val="90"/>
                <w:sz w:val="24"/>
              </w:rPr>
              <w:t>75</w:t>
            </w:r>
          </w:p>
        </w:tc>
        <w:tc>
          <w:tcPr>
            <w:tcW w:w="1360" w:type="dxa"/>
          </w:tcPr>
          <w:p w14:paraId="254CCBCC" w14:textId="77777777" w:rsidR="00A36BA5" w:rsidRPr="008270BA" w:rsidRDefault="008270BA">
            <w:pPr>
              <w:pStyle w:val="TableParagraph"/>
              <w:ind w:left="68" w:right="44"/>
              <w:jc w:val="center"/>
              <w:rPr>
                <w:w w:val="90"/>
                <w:sz w:val="24"/>
              </w:rPr>
            </w:pPr>
            <w:r w:rsidRPr="008270BA">
              <w:rPr>
                <w:w w:val="90"/>
                <w:sz w:val="24"/>
              </w:rPr>
              <w:t>30.0%</w:t>
            </w:r>
          </w:p>
        </w:tc>
      </w:tr>
      <w:tr w:rsidR="00A36BA5" w:rsidRPr="008270BA" w14:paraId="02ED2FB7" w14:textId="77777777">
        <w:trPr>
          <w:trHeight w:val="420"/>
        </w:trPr>
        <w:tc>
          <w:tcPr>
            <w:tcW w:w="3500" w:type="dxa"/>
          </w:tcPr>
          <w:p w14:paraId="56B3DB1F" w14:textId="77777777" w:rsidR="00A36BA5" w:rsidRPr="008270BA" w:rsidRDefault="008270BA">
            <w:pPr>
              <w:pStyle w:val="TableParagraph"/>
              <w:ind w:left="117"/>
              <w:rPr>
                <w:w w:val="90"/>
                <w:sz w:val="24"/>
              </w:rPr>
            </w:pPr>
            <w:r w:rsidRPr="008270BA">
              <w:rPr>
                <w:w w:val="90"/>
                <w:sz w:val="24"/>
              </w:rPr>
              <w:t>Otros</w:t>
            </w:r>
          </w:p>
        </w:tc>
        <w:tc>
          <w:tcPr>
            <w:tcW w:w="1200" w:type="dxa"/>
          </w:tcPr>
          <w:p w14:paraId="4CEA0662" w14:textId="77777777" w:rsidR="00A36BA5" w:rsidRPr="008270BA" w:rsidRDefault="008270BA">
            <w:pPr>
              <w:pStyle w:val="TableParagraph"/>
              <w:ind w:left="218" w:right="185"/>
              <w:jc w:val="center"/>
              <w:rPr>
                <w:w w:val="90"/>
                <w:sz w:val="24"/>
              </w:rPr>
            </w:pPr>
            <w:r w:rsidRPr="008270BA">
              <w:rPr>
                <w:w w:val="90"/>
                <w:sz w:val="24"/>
              </w:rPr>
              <w:t>61</w:t>
            </w:r>
          </w:p>
        </w:tc>
        <w:tc>
          <w:tcPr>
            <w:tcW w:w="820" w:type="dxa"/>
          </w:tcPr>
          <w:p w14:paraId="4903BA70" w14:textId="77777777" w:rsidR="00A36BA5" w:rsidRPr="008270BA" w:rsidRDefault="008270BA">
            <w:pPr>
              <w:pStyle w:val="TableParagraph"/>
              <w:ind w:left="55" w:right="21"/>
              <w:jc w:val="center"/>
              <w:rPr>
                <w:w w:val="90"/>
                <w:sz w:val="24"/>
              </w:rPr>
            </w:pPr>
            <w:r w:rsidRPr="008270BA">
              <w:rPr>
                <w:w w:val="90"/>
                <w:sz w:val="24"/>
              </w:rPr>
              <w:t>&lt;6</w:t>
            </w:r>
          </w:p>
        </w:tc>
        <w:tc>
          <w:tcPr>
            <w:tcW w:w="1340" w:type="dxa"/>
          </w:tcPr>
          <w:p w14:paraId="2F14368D" w14:textId="77777777" w:rsidR="00A36BA5" w:rsidRPr="008270BA" w:rsidRDefault="008270BA">
            <w:pPr>
              <w:pStyle w:val="TableParagraph"/>
              <w:ind w:left="68" w:right="25"/>
              <w:jc w:val="center"/>
              <w:rPr>
                <w:w w:val="90"/>
                <w:sz w:val="24"/>
              </w:rPr>
            </w:pPr>
            <w:r w:rsidRPr="008270BA">
              <w:rPr>
                <w:w w:val="90"/>
                <w:sz w:val="24"/>
              </w:rPr>
              <w:t>12</w:t>
            </w:r>
          </w:p>
        </w:tc>
        <w:tc>
          <w:tcPr>
            <w:tcW w:w="1360" w:type="dxa"/>
          </w:tcPr>
          <w:p w14:paraId="357D8D39" w14:textId="77777777" w:rsidR="00A36BA5" w:rsidRPr="008270BA" w:rsidRDefault="008270BA">
            <w:pPr>
              <w:pStyle w:val="TableParagraph"/>
              <w:ind w:left="21"/>
              <w:jc w:val="center"/>
              <w:rPr>
                <w:w w:val="90"/>
                <w:sz w:val="24"/>
              </w:rPr>
            </w:pPr>
            <w:r w:rsidRPr="008270BA">
              <w:rPr>
                <w:w w:val="90"/>
                <w:sz w:val="24"/>
              </w:rPr>
              <w:t>*</w:t>
            </w:r>
          </w:p>
        </w:tc>
        <w:tc>
          <w:tcPr>
            <w:tcW w:w="1360" w:type="dxa"/>
          </w:tcPr>
          <w:p w14:paraId="2C9FA0EB" w14:textId="77777777" w:rsidR="00A36BA5" w:rsidRPr="008270BA" w:rsidRDefault="008270BA">
            <w:pPr>
              <w:pStyle w:val="TableParagraph"/>
              <w:ind w:left="23"/>
              <w:jc w:val="center"/>
              <w:rPr>
                <w:w w:val="90"/>
                <w:sz w:val="24"/>
              </w:rPr>
            </w:pPr>
            <w:r w:rsidRPr="008270BA">
              <w:rPr>
                <w:w w:val="90"/>
                <w:sz w:val="24"/>
              </w:rPr>
              <w:t>*</w:t>
            </w:r>
          </w:p>
        </w:tc>
      </w:tr>
      <w:tr w:rsidR="00A36BA5" w:rsidRPr="008270BA" w14:paraId="672EC876" w14:textId="77777777">
        <w:trPr>
          <w:trHeight w:val="440"/>
        </w:trPr>
        <w:tc>
          <w:tcPr>
            <w:tcW w:w="9580" w:type="dxa"/>
            <w:gridSpan w:val="6"/>
            <w:shd w:val="clear" w:color="auto" w:fill="D9D9D9"/>
          </w:tcPr>
          <w:p w14:paraId="604C38E0" w14:textId="77777777" w:rsidR="00A36BA5" w:rsidRPr="008270BA" w:rsidRDefault="008270BA">
            <w:pPr>
              <w:pStyle w:val="TableParagraph"/>
              <w:ind w:left="117"/>
              <w:rPr>
                <w:b/>
                <w:w w:val="90"/>
                <w:sz w:val="24"/>
              </w:rPr>
            </w:pPr>
            <w:r w:rsidRPr="008270BA">
              <w:rPr>
                <w:b/>
                <w:w w:val="90"/>
                <w:sz w:val="24"/>
              </w:rPr>
              <w:t>Contacto heterosexual</w:t>
            </w:r>
          </w:p>
        </w:tc>
      </w:tr>
      <w:tr w:rsidR="00A36BA5" w:rsidRPr="008270BA" w14:paraId="4367DAB3" w14:textId="77777777">
        <w:trPr>
          <w:trHeight w:val="420"/>
        </w:trPr>
        <w:tc>
          <w:tcPr>
            <w:tcW w:w="9580" w:type="dxa"/>
            <w:gridSpan w:val="6"/>
          </w:tcPr>
          <w:p w14:paraId="08CD349B" w14:textId="77777777" w:rsidR="00A36BA5" w:rsidRPr="008270BA" w:rsidRDefault="008270BA">
            <w:pPr>
              <w:pStyle w:val="TableParagraph"/>
              <w:spacing w:before="35"/>
              <w:ind w:left="3909" w:right="3891"/>
              <w:jc w:val="center"/>
              <w:rPr>
                <w:i/>
                <w:w w:val="90"/>
                <w:sz w:val="24"/>
              </w:rPr>
            </w:pPr>
            <w:r w:rsidRPr="008270BA">
              <w:rPr>
                <w:i/>
                <w:w w:val="90"/>
                <w:sz w:val="24"/>
              </w:rPr>
              <w:t>Masculino (Sexo de nacimiento)</w:t>
            </w:r>
          </w:p>
        </w:tc>
      </w:tr>
      <w:tr w:rsidR="00A36BA5" w:rsidRPr="008270BA" w14:paraId="597EF9FE" w14:textId="77777777">
        <w:trPr>
          <w:trHeight w:val="420"/>
        </w:trPr>
        <w:tc>
          <w:tcPr>
            <w:tcW w:w="3500" w:type="dxa"/>
          </w:tcPr>
          <w:p w14:paraId="023DEE4E" w14:textId="77777777" w:rsidR="00A36BA5" w:rsidRPr="008270BA" w:rsidRDefault="008270BA">
            <w:pPr>
              <w:pStyle w:val="TableParagraph"/>
              <w:spacing w:before="35"/>
              <w:ind w:left="117"/>
              <w:rPr>
                <w:w w:val="90"/>
                <w:sz w:val="24"/>
              </w:rPr>
            </w:pPr>
            <w:r w:rsidRPr="008270BA">
              <w:rPr>
                <w:w w:val="90"/>
                <w:sz w:val="24"/>
              </w:rPr>
              <w:t>Negros</w:t>
            </w:r>
          </w:p>
        </w:tc>
        <w:tc>
          <w:tcPr>
            <w:tcW w:w="1200" w:type="dxa"/>
          </w:tcPr>
          <w:p w14:paraId="1CEBE1AE" w14:textId="77777777" w:rsidR="00A36BA5" w:rsidRPr="008270BA" w:rsidRDefault="008270BA">
            <w:pPr>
              <w:pStyle w:val="TableParagraph"/>
              <w:spacing w:before="35"/>
              <w:ind w:left="219" w:right="185"/>
              <w:jc w:val="center"/>
              <w:rPr>
                <w:w w:val="90"/>
                <w:sz w:val="24"/>
              </w:rPr>
            </w:pPr>
            <w:r w:rsidRPr="008270BA">
              <w:rPr>
                <w:w w:val="90"/>
                <w:sz w:val="24"/>
              </w:rPr>
              <w:t>1,482</w:t>
            </w:r>
          </w:p>
        </w:tc>
        <w:tc>
          <w:tcPr>
            <w:tcW w:w="820" w:type="dxa"/>
          </w:tcPr>
          <w:p w14:paraId="203DA4A9" w14:textId="77777777" w:rsidR="00A36BA5" w:rsidRPr="008270BA" w:rsidRDefault="008270BA">
            <w:pPr>
              <w:pStyle w:val="TableParagraph"/>
              <w:spacing w:before="35"/>
              <w:ind w:left="55" w:right="20"/>
              <w:jc w:val="center"/>
              <w:rPr>
                <w:w w:val="90"/>
                <w:sz w:val="24"/>
              </w:rPr>
            </w:pPr>
            <w:r w:rsidRPr="008270BA">
              <w:rPr>
                <w:w w:val="90"/>
                <w:sz w:val="24"/>
              </w:rPr>
              <w:t>223</w:t>
            </w:r>
          </w:p>
        </w:tc>
        <w:tc>
          <w:tcPr>
            <w:tcW w:w="1340" w:type="dxa"/>
          </w:tcPr>
          <w:p w14:paraId="77E2A6B5" w14:textId="77777777" w:rsidR="00A36BA5" w:rsidRPr="008270BA" w:rsidRDefault="008270BA">
            <w:pPr>
              <w:pStyle w:val="TableParagraph"/>
              <w:spacing w:before="35"/>
              <w:ind w:left="68" w:right="23"/>
              <w:jc w:val="center"/>
              <w:rPr>
                <w:w w:val="90"/>
                <w:sz w:val="24"/>
              </w:rPr>
            </w:pPr>
            <w:r w:rsidRPr="008270BA">
              <w:rPr>
                <w:w w:val="90"/>
                <w:sz w:val="24"/>
              </w:rPr>
              <w:t>163</w:t>
            </w:r>
          </w:p>
        </w:tc>
        <w:tc>
          <w:tcPr>
            <w:tcW w:w="1360" w:type="dxa"/>
          </w:tcPr>
          <w:p w14:paraId="4D225A40" w14:textId="77777777" w:rsidR="00A36BA5" w:rsidRPr="008270BA" w:rsidRDefault="008270BA">
            <w:pPr>
              <w:pStyle w:val="TableParagraph"/>
              <w:spacing w:before="35"/>
              <w:ind w:left="68" w:right="12"/>
              <w:jc w:val="center"/>
              <w:rPr>
                <w:w w:val="90"/>
                <w:sz w:val="24"/>
              </w:rPr>
            </w:pPr>
            <w:r w:rsidRPr="008270BA">
              <w:rPr>
                <w:w w:val="90"/>
                <w:sz w:val="24"/>
              </w:rPr>
              <w:t>386</w:t>
            </w:r>
          </w:p>
        </w:tc>
        <w:tc>
          <w:tcPr>
            <w:tcW w:w="1360" w:type="dxa"/>
          </w:tcPr>
          <w:p w14:paraId="39ED23B0" w14:textId="77777777" w:rsidR="00A36BA5" w:rsidRPr="008270BA" w:rsidRDefault="008270BA">
            <w:pPr>
              <w:pStyle w:val="TableParagraph"/>
              <w:spacing w:before="35"/>
              <w:ind w:left="68" w:right="44"/>
              <w:jc w:val="center"/>
              <w:rPr>
                <w:w w:val="90"/>
                <w:sz w:val="24"/>
              </w:rPr>
            </w:pPr>
            <w:r w:rsidRPr="008270BA">
              <w:rPr>
                <w:w w:val="90"/>
                <w:sz w:val="24"/>
              </w:rPr>
              <w:t>26,0%</w:t>
            </w:r>
          </w:p>
        </w:tc>
      </w:tr>
      <w:tr w:rsidR="00A36BA5" w:rsidRPr="008270BA" w14:paraId="30AF6C46" w14:textId="77777777">
        <w:trPr>
          <w:trHeight w:val="420"/>
        </w:trPr>
        <w:tc>
          <w:tcPr>
            <w:tcW w:w="3500" w:type="dxa"/>
          </w:tcPr>
          <w:p w14:paraId="7749640E" w14:textId="77777777" w:rsidR="00A36BA5" w:rsidRPr="008270BA" w:rsidRDefault="008270BA">
            <w:pPr>
              <w:pStyle w:val="TableParagraph"/>
              <w:spacing w:before="35"/>
              <w:ind w:left="117"/>
              <w:rPr>
                <w:w w:val="90"/>
                <w:sz w:val="24"/>
              </w:rPr>
            </w:pPr>
            <w:r w:rsidRPr="008270BA">
              <w:rPr>
                <w:w w:val="90"/>
                <w:sz w:val="24"/>
              </w:rPr>
              <w:t>Hispanos/Latinos</w:t>
            </w:r>
          </w:p>
        </w:tc>
        <w:tc>
          <w:tcPr>
            <w:tcW w:w="1200" w:type="dxa"/>
          </w:tcPr>
          <w:p w14:paraId="559064AC" w14:textId="77777777" w:rsidR="00A36BA5" w:rsidRPr="008270BA" w:rsidRDefault="008270BA">
            <w:pPr>
              <w:pStyle w:val="TableParagraph"/>
              <w:spacing w:before="35"/>
              <w:ind w:left="220" w:right="184"/>
              <w:jc w:val="center"/>
              <w:rPr>
                <w:w w:val="90"/>
                <w:sz w:val="24"/>
              </w:rPr>
            </w:pPr>
            <w:r w:rsidRPr="008270BA">
              <w:rPr>
                <w:w w:val="90"/>
                <w:sz w:val="24"/>
              </w:rPr>
              <w:t>303</w:t>
            </w:r>
          </w:p>
        </w:tc>
        <w:tc>
          <w:tcPr>
            <w:tcW w:w="820" w:type="dxa"/>
          </w:tcPr>
          <w:p w14:paraId="1F72F06E" w14:textId="77777777" w:rsidR="00A36BA5" w:rsidRPr="008270BA" w:rsidRDefault="008270BA">
            <w:pPr>
              <w:pStyle w:val="TableParagraph"/>
              <w:spacing w:before="35"/>
              <w:ind w:left="55" w:right="18"/>
              <w:jc w:val="center"/>
              <w:rPr>
                <w:w w:val="90"/>
                <w:sz w:val="24"/>
              </w:rPr>
            </w:pPr>
            <w:r w:rsidRPr="008270BA">
              <w:rPr>
                <w:w w:val="90"/>
                <w:sz w:val="24"/>
              </w:rPr>
              <w:t>61</w:t>
            </w:r>
          </w:p>
        </w:tc>
        <w:tc>
          <w:tcPr>
            <w:tcW w:w="1340" w:type="dxa"/>
          </w:tcPr>
          <w:p w14:paraId="177E6C8D" w14:textId="77777777" w:rsidR="00A36BA5" w:rsidRPr="008270BA" w:rsidRDefault="008270BA">
            <w:pPr>
              <w:pStyle w:val="TableParagraph"/>
              <w:spacing w:before="35"/>
              <w:ind w:left="68" w:right="25"/>
              <w:jc w:val="center"/>
              <w:rPr>
                <w:w w:val="90"/>
                <w:sz w:val="24"/>
              </w:rPr>
            </w:pPr>
            <w:r w:rsidRPr="008270BA">
              <w:rPr>
                <w:w w:val="90"/>
                <w:sz w:val="24"/>
              </w:rPr>
              <w:t>24</w:t>
            </w:r>
          </w:p>
        </w:tc>
        <w:tc>
          <w:tcPr>
            <w:tcW w:w="1360" w:type="dxa"/>
          </w:tcPr>
          <w:p w14:paraId="681726BA" w14:textId="77777777" w:rsidR="00A36BA5" w:rsidRPr="008270BA" w:rsidRDefault="008270BA">
            <w:pPr>
              <w:pStyle w:val="TableParagraph"/>
              <w:spacing w:before="35"/>
              <w:ind w:left="68" w:right="46"/>
              <w:jc w:val="center"/>
              <w:rPr>
                <w:w w:val="90"/>
                <w:sz w:val="24"/>
              </w:rPr>
            </w:pPr>
            <w:r w:rsidRPr="008270BA">
              <w:rPr>
                <w:w w:val="90"/>
                <w:sz w:val="24"/>
              </w:rPr>
              <w:t>85</w:t>
            </w:r>
          </w:p>
        </w:tc>
        <w:tc>
          <w:tcPr>
            <w:tcW w:w="1360" w:type="dxa"/>
          </w:tcPr>
          <w:p w14:paraId="5B358EAD" w14:textId="77777777" w:rsidR="00A36BA5" w:rsidRPr="008270BA" w:rsidRDefault="008270BA">
            <w:pPr>
              <w:pStyle w:val="TableParagraph"/>
              <w:spacing w:before="35"/>
              <w:ind w:left="68" w:right="44"/>
              <w:jc w:val="center"/>
              <w:rPr>
                <w:w w:val="90"/>
                <w:sz w:val="24"/>
              </w:rPr>
            </w:pPr>
            <w:r w:rsidRPr="008270BA">
              <w:rPr>
                <w:w w:val="90"/>
                <w:sz w:val="24"/>
              </w:rPr>
              <w:t>28.1%</w:t>
            </w:r>
          </w:p>
        </w:tc>
      </w:tr>
      <w:tr w:rsidR="00A36BA5" w:rsidRPr="008270BA" w14:paraId="7AA997D8" w14:textId="77777777">
        <w:trPr>
          <w:trHeight w:val="420"/>
        </w:trPr>
        <w:tc>
          <w:tcPr>
            <w:tcW w:w="3500" w:type="dxa"/>
          </w:tcPr>
          <w:p w14:paraId="54D982B5" w14:textId="77777777" w:rsidR="00A36BA5" w:rsidRPr="008270BA" w:rsidRDefault="008270BA">
            <w:pPr>
              <w:pStyle w:val="TableParagraph"/>
              <w:spacing w:before="35"/>
              <w:ind w:left="117"/>
              <w:rPr>
                <w:w w:val="90"/>
                <w:sz w:val="24"/>
              </w:rPr>
            </w:pPr>
            <w:r w:rsidRPr="008270BA">
              <w:rPr>
                <w:w w:val="90"/>
                <w:sz w:val="24"/>
              </w:rPr>
              <w:t>Multirracial no hispanos</w:t>
            </w:r>
          </w:p>
        </w:tc>
        <w:tc>
          <w:tcPr>
            <w:tcW w:w="1200" w:type="dxa"/>
          </w:tcPr>
          <w:p w14:paraId="37784C52" w14:textId="77777777" w:rsidR="00A36BA5" w:rsidRPr="008270BA" w:rsidRDefault="008270BA">
            <w:pPr>
              <w:pStyle w:val="TableParagraph"/>
              <w:spacing w:before="35"/>
              <w:ind w:left="218" w:right="185"/>
              <w:jc w:val="center"/>
              <w:rPr>
                <w:w w:val="90"/>
                <w:sz w:val="24"/>
              </w:rPr>
            </w:pPr>
            <w:r w:rsidRPr="008270BA">
              <w:rPr>
                <w:w w:val="90"/>
                <w:sz w:val="24"/>
              </w:rPr>
              <w:t>47</w:t>
            </w:r>
          </w:p>
        </w:tc>
        <w:tc>
          <w:tcPr>
            <w:tcW w:w="820" w:type="dxa"/>
          </w:tcPr>
          <w:p w14:paraId="1D14B537" w14:textId="77777777" w:rsidR="00A36BA5" w:rsidRPr="008270BA" w:rsidRDefault="008270BA">
            <w:pPr>
              <w:pStyle w:val="TableParagraph"/>
              <w:spacing w:before="35"/>
              <w:ind w:left="23"/>
              <w:jc w:val="center"/>
              <w:rPr>
                <w:w w:val="90"/>
                <w:sz w:val="24"/>
              </w:rPr>
            </w:pPr>
            <w:r w:rsidRPr="008270BA">
              <w:rPr>
                <w:w w:val="90"/>
                <w:sz w:val="24"/>
              </w:rPr>
              <w:t>*</w:t>
            </w:r>
          </w:p>
        </w:tc>
        <w:tc>
          <w:tcPr>
            <w:tcW w:w="1340" w:type="dxa"/>
          </w:tcPr>
          <w:p w14:paraId="3E78C723" w14:textId="77777777" w:rsidR="00A36BA5" w:rsidRPr="008270BA" w:rsidRDefault="008270BA">
            <w:pPr>
              <w:pStyle w:val="TableParagraph"/>
              <w:spacing w:before="35"/>
              <w:ind w:left="42"/>
              <w:jc w:val="center"/>
              <w:rPr>
                <w:w w:val="90"/>
                <w:sz w:val="24"/>
              </w:rPr>
            </w:pPr>
            <w:r w:rsidRPr="008270BA">
              <w:rPr>
                <w:w w:val="90"/>
                <w:sz w:val="24"/>
              </w:rPr>
              <w:t>6</w:t>
            </w:r>
          </w:p>
        </w:tc>
        <w:tc>
          <w:tcPr>
            <w:tcW w:w="1360" w:type="dxa"/>
          </w:tcPr>
          <w:p w14:paraId="3A7C607C" w14:textId="77777777" w:rsidR="00A36BA5" w:rsidRPr="008270BA" w:rsidRDefault="008270BA">
            <w:pPr>
              <w:pStyle w:val="TableParagraph"/>
              <w:spacing w:before="35"/>
              <w:ind w:left="16"/>
              <w:jc w:val="center"/>
              <w:rPr>
                <w:w w:val="90"/>
                <w:sz w:val="24"/>
              </w:rPr>
            </w:pPr>
            <w:r w:rsidRPr="008270BA">
              <w:rPr>
                <w:w w:val="90"/>
                <w:sz w:val="24"/>
              </w:rPr>
              <w:t>*</w:t>
            </w:r>
          </w:p>
        </w:tc>
        <w:tc>
          <w:tcPr>
            <w:tcW w:w="1360" w:type="dxa"/>
          </w:tcPr>
          <w:p w14:paraId="508E358F" w14:textId="77777777" w:rsidR="00A36BA5" w:rsidRPr="008270BA" w:rsidRDefault="008270BA">
            <w:pPr>
              <w:pStyle w:val="TableParagraph"/>
              <w:spacing w:before="35"/>
              <w:ind w:left="18"/>
              <w:jc w:val="center"/>
              <w:rPr>
                <w:w w:val="90"/>
                <w:sz w:val="24"/>
              </w:rPr>
            </w:pPr>
            <w:r w:rsidRPr="008270BA">
              <w:rPr>
                <w:w w:val="90"/>
                <w:sz w:val="24"/>
              </w:rPr>
              <w:t>*</w:t>
            </w:r>
          </w:p>
        </w:tc>
      </w:tr>
      <w:tr w:rsidR="00A36BA5" w:rsidRPr="008270BA" w14:paraId="200A2E52" w14:textId="77777777">
        <w:trPr>
          <w:trHeight w:val="420"/>
        </w:trPr>
        <w:tc>
          <w:tcPr>
            <w:tcW w:w="3500" w:type="dxa"/>
          </w:tcPr>
          <w:p w14:paraId="5733450F" w14:textId="77777777" w:rsidR="00A36BA5" w:rsidRPr="008270BA" w:rsidRDefault="008270BA">
            <w:pPr>
              <w:pStyle w:val="TableParagraph"/>
              <w:spacing w:before="35"/>
              <w:ind w:left="117"/>
              <w:rPr>
                <w:w w:val="90"/>
                <w:sz w:val="24"/>
              </w:rPr>
            </w:pPr>
            <w:r w:rsidRPr="008270BA">
              <w:rPr>
                <w:w w:val="90"/>
                <w:sz w:val="24"/>
              </w:rPr>
              <w:t>Blancos</w:t>
            </w:r>
          </w:p>
        </w:tc>
        <w:tc>
          <w:tcPr>
            <w:tcW w:w="1200" w:type="dxa"/>
          </w:tcPr>
          <w:p w14:paraId="64ED3992" w14:textId="77777777" w:rsidR="00A36BA5" w:rsidRPr="008270BA" w:rsidRDefault="008270BA">
            <w:pPr>
              <w:pStyle w:val="TableParagraph"/>
              <w:spacing w:before="35"/>
              <w:ind w:left="218" w:right="185"/>
              <w:jc w:val="center"/>
              <w:rPr>
                <w:w w:val="90"/>
                <w:sz w:val="24"/>
              </w:rPr>
            </w:pPr>
            <w:r w:rsidRPr="008270BA">
              <w:rPr>
                <w:w w:val="90"/>
                <w:sz w:val="24"/>
              </w:rPr>
              <w:t>165</w:t>
            </w:r>
          </w:p>
        </w:tc>
        <w:tc>
          <w:tcPr>
            <w:tcW w:w="820" w:type="dxa"/>
          </w:tcPr>
          <w:p w14:paraId="7BC6902B" w14:textId="77777777" w:rsidR="00A36BA5" w:rsidRPr="008270BA" w:rsidRDefault="008270BA">
            <w:pPr>
              <w:pStyle w:val="TableParagraph"/>
              <w:spacing w:before="35"/>
              <w:ind w:left="55" w:right="18"/>
              <w:jc w:val="center"/>
              <w:rPr>
                <w:w w:val="90"/>
                <w:sz w:val="24"/>
              </w:rPr>
            </w:pPr>
            <w:r w:rsidRPr="008270BA">
              <w:rPr>
                <w:w w:val="90"/>
                <w:sz w:val="24"/>
              </w:rPr>
              <w:t>16</w:t>
            </w:r>
          </w:p>
        </w:tc>
        <w:tc>
          <w:tcPr>
            <w:tcW w:w="1340" w:type="dxa"/>
          </w:tcPr>
          <w:p w14:paraId="0B95C4AD" w14:textId="77777777" w:rsidR="00A36BA5" w:rsidRPr="008270BA" w:rsidRDefault="008270BA">
            <w:pPr>
              <w:pStyle w:val="TableParagraph"/>
              <w:spacing w:before="35"/>
              <w:ind w:left="68" w:right="21"/>
              <w:jc w:val="center"/>
              <w:rPr>
                <w:w w:val="90"/>
                <w:sz w:val="24"/>
              </w:rPr>
            </w:pPr>
            <w:r w:rsidRPr="008270BA">
              <w:rPr>
                <w:w w:val="90"/>
                <w:sz w:val="24"/>
              </w:rPr>
              <w:t>15</w:t>
            </w:r>
          </w:p>
        </w:tc>
        <w:tc>
          <w:tcPr>
            <w:tcW w:w="1360" w:type="dxa"/>
          </w:tcPr>
          <w:p w14:paraId="0BA6C87D" w14:textId="77777777" w:rsidR="00A36BA5" w:rsidRPr="008270BA" w:rsidRDefault="008270BA">
            <w:pPr>
              <w:pStyle w:val="TableParagraph"/>
              <w:spacing w:before="35"/>
              <w:ind w:left="68" w:right="38"/>
              <w:jc w:val="center"/>
              <w:rPr>
                <w:w w:val="90"/>
                <w:sz w:val="24"/>
              </w:rPr>
            </w:pPr>
            <w:r w:rsidRPr="008270BA">
              <w:rPr>
                <w:w w:val="90"/>
                <w:sz w:val="24"/>
              </w:rPr>
              <w:t>31</w:t>
            </w:r>
          </w:p>
        </w:tc>
        <w:tc>
          <w:tcPr>
            <w:tcW w:w="1360" w:type="dxa"/>
          </w:tcPr>
          <w:p w14:paraId="18661A43" w14:textId="77777777" w:rsidR="00A36BA5" w:rsidRPr="008270BA" w:rsidRDefault="008270BA">
            <w:pPr>
              <w:pStyle w:val="TableParagraph"/>
              <w:spacing w:before="35"/>
              <w:ind w:left="68" w:right="36"/>
              <w:jc w:val="center"/>
              <w:rPr>
                <w:w w:val="90"/>
                <w:sz w:val="24"/>
              </w:rPr>
            </w:pPr>
            <w:r w:rsidRPr="008270BA">
              <w:rPr>
                <w:w w:val="90"/>
                <w:sz w:val="24"/>
              </w:rPr>
              <w:t>18,8%</w:t>
            </w:r>
          </w:p>
        </w:tc>
      </w:tr>
      <w:tr w:rsidR="00A36BA5" w:rsidRPr="008270BA" w14:paraId="23CE162A" w14:textId="77777777">
        <w:trPr>
          <w:trHeight w:val="420"/>
        </w:trPr>
        <w:tc>
          <w:tcPr>
            <w:tcW w:w="3500" w:type="dxa"/>
          </w:tcPr>
          <w:p w14:paraId="419FB92F" w14:textId="77777777" w:rsidR="00A36BA5" w:rsidRPr="008270BA" w:rsidRDefault="008270BA">
            <w:pPr>
              <w:pStyle w:val="TableParagraph"/>
              <w:ind w:left="117"/>
              <w:rPr>
                <w:w w:val="90"/>
                <w:sz w:val="24"/>
              </w:rPr>
            </w:pPr>
            <w:r w:rsidRPr="008270BA">
              <w:rPr>
                <w:w w:val="90"/>
                <w:sz w:val="24"/>
              </w:rPr>
              <w:t>Asiáticos/Isleños del Pacífico</w:t>
            </w:r>
          </w:p>
        </w:tc>
        <w:tc>
          <w:tcPr>
            <w:tcW w:w="1200" w:type="dxa"/>
          </w:tcPr>
          <w:p w14:paraId="27901F29" w14:textId="77777777" w:rsidR="00A36BA5" w:rsidRPr="008270BA" w:rsidRDefault="008270BA">
            <w:pPr>
              <w:pStyle w:val="TableParagraph"/>
              <w:ind w:left="218" w:right="185"/>
              <w:jc w:val="center"/>
              <w:rPr>
                <w:w w:val="90"/>
                <w:sz w:val="24"/>
              </w:rPr>
            </w:pPr>
            <w:r w:rsidRPr="008270BA">
              <w:rPr>
                <w:w w:val="90"/>
                <w:sz w:val="24"/>
              </w:rPr>
              <w:t>30</w:t>
            </w:r>
          </w:p>
        </w:tc>
        <w:tc>
          <w:tcPr>
            <w:tcW w:w="820" w:type="dxa"/>
          </w:tcPr>
          <w:p w14:paraId="5F082EA0" w14:textId="77777777" w:rsidR="00A36BA5" w:rsidRPr="008270BA" w:rsidRDefault="008270BA">
            <w:pPr>
              <w:pStyle w:val="TableParagraph"/>
              <w:ind w:left="25"/>
              <w:jc w:val="center"/>
              <w:rPr>
                <w:w w:val="90"/>
                <w:sz w:val="24"/>
              </w:rPr>
            </w:pPr>
            <w:r w:rsidRPr="008270BA">
              <w:rPr>
                <w:w w:val="90"/>
                <w:sz w:val="24"/>
              </w:rPr>
              <w:t>*</w:t>
            </w:r>
          </w:p>
        </w:tc>
        <w:tc>
          <w:tcPr>
            <w:tcW w:w="1340" w:type="dxa"/>
          </w:tcPr>
          <w:p w14:paraId="57F19BF2" w14:textId="77777777" w:rsidR="00A36BA5" w:rsidRPr="008270BA" w:rsidRDefault="008270BA">
            <w:pPr>
              <w:pStyle w:val="TableParagraph"/>
              <w:ind w:left="35"/>
              <w:jc w:val="center"/>
              <w:rPr>
                <w:w w:val="90"/>
                <w:sz w:val="24"/>
              </w:rPr>
            </w:pPr>
            <w:r w:rsidRPr="008270BA">
              <w:rPr>
                <w:w w:val="90"/>
                <w:sz w:val="24"/>
              </w:rPr>
              <w:t>*</w:t>
            </w:r>
          </w:p>
        </w:tc>
        <w:tc>
          <w:tcPr>
            <w:tcW w:w="1360" w:type="dxa"/>
          </w:tcPr>
          <w:p w14:paraId="6AF87B5D" w14:textId="77777777" w:rsidR="00A36BA5" w:rsidRPr="008270BA" w:rsidRDefault="008270BA">
            <w:pPr>
              <w:pStyle w:val="TableParagraph"/>
              <w:ind w:left="16"/>
              <w:jc w:val="center"/>
              <w:rPr>
                <w:w w:val="90"/>
                <w:sz w:val="24"/>
              </w:rPr>
            </w:pPr>
            <w:r w:rsidRPr="008270BA">
              <w:rPr>
                <w:w w:val="90"/>
                <w:sz w:val="24"/>
              </w:rPr>
              <w:t>*</w:t>
            </w:r>
          </w:p>
        </w:tc>
        <w:tc>
          <w:tcPr>
            <w:tcW w:w="1360" w:type="dxa"/>
          </w:tcPr>
          <w:p w14:paraId="59A18091" w14:textId="77777777" w:rsidR="00A36BA5" w:rsidRPr="008270BA" w:rsidRDefault="008270BA">
            <w:pPr>
              <w:pStyle w:val="TableParagraph"/>
              <w:ind w:left="18"/>
              <w:jc w:val="center"/>
              <w:rPr>
                <w:w w:val="90"/>
                <w:sz w:val="24"/>
              </w:rPr>
            </w:pPr>
            <w:r w:rsidRPr="008270BA">
              <w:rPr>
                <w:w w:val="90"/>
                <w:sz w:val="24"/>
              </w:rPr>
              <w:t>*</w:t>
            </w:r>
          </w:p>
        </w:tc>
      </w:tr>
      <w:tr w:rsidR="00A36BA5" w:rsidRPr="008270BA" w14:paraId="421E14F3" w14:textId="77777777">
        <w:trPr>
          <w:trHeight w:val="420"/>
        </w:trPr>
        <w:tc>
          <w:tcPr>
            <w:tcW w:w="3500" w:type="dxa"/>
          </w:tcPr>
          <w:p w14:paraId="34351AC8" w14:textId="77777777" w:rsidR="00A36BA5" w:rsidRPr="008270BA" w:rsidRDefault="008270BA">
            <w:pPr>
              <w:pStyle w:val="TableParagraph"/>
              <w:ind w:left="117"/>
              <w:rPr>
                <w:w w:val="90"/>
                <w:sz w:val="24"/>
              </w:rPr>
            </w:pPr>
            <w:r w:rsidRPr="008270BA">
              <w:rPr>
                <w:w w:val="90"/>
                <w:sz w:val="24"/>
              </w:rPr>
              <w:lastRenderedPageBreak/>
              <w:t>Amerindios/Nativos de Alaska</w:t>
            </w:r>
          </w:p>
        </w:tc>
        <w:tc>
          <w:tcPr>
            <w:tcW w:w="1200" w:type="dxa"/>
          </w:tcPr>
          <w:p w14:paraId="7451361B" w14:textId="77777777" w:rsidR="00A36BA5" w:rsidRPr="008270BA" w:rsidRDefault="008270BA">
            <w:pPr>
              <w:pStyle w:val="TableParagraph"/>
              <w:ind w:left="218" w:right="185"/>
              <w:jc w:val="center"/>
              <w:rPr>
                <w:w w:val="90"/>
                <w:sz w:val="24"/>
              </w:rPr>
            </w:pPr>
            <w:r w:rsidRPr="008270BA">
              <w:rPr>
                <w:w w:val="90"/>
                <w:sz w:val="24"/>
              </w:rPr>
              <w:t>10</w:t>
            </w:r>
          </w:p>
        </w:tc>
        <w:tc>
          <w:tcPr>
            <w:tcW w:w="820" w:type="dxa"/>
          </w:tcPr>
          <w:p w14:paraId="6A95A6A3" w14:textId="77777777" w:rsidR="00A36BA5" w:rsidRPr="008270BA" w:rsidRDefault="008270BA">
            <w:pPr>
              <w:pStyle w:val="TableParagraph"/>
              <w:ind w:left="25"/>
              <w:jc w:val="center"/>
              <w:rPr>
                <w:w w:val="90"/>
                <w:sz w:val="24"/>
              </w:rPr>
            </w:pPr>
            <w:r w:rsidRPr="008270BA">
              <w:rPr>
                <w:w w:val="90"/>
                <w:sz w:val="24"/>
              </w:rPr>
              <w:t>*</w:t>
            </w:r>
          </w:p>
        </w:tc>
        <w:tc>
          <w:tcPr>
            <w:tcW w:w="1340" w:type="dxa"/>
          </w:tcPr>
          <w:p w14:paraId="0A26ACBC" w14:textId="77777777" w:rsidR="00A36BA5" w:rsidRPr="008270BA" w:rsidRDefault="008270BA">
            <w:pPr>
              <w:pStyle w:val="TableParagraph"/>
              <w:ind w:left="35"/>
              <w:jc w:val="center"/>
              <w:rPr>
                <w:w w:val="90"/>
                <w:sz w:val="24"/>
              </w:rPr>
            </w:pPr>
            <w:r w:rsidRPr="008270BA">
              <w:rPr>
                <w:w w:val="90"/>
                <w:sz w:val="24"/>
              </w:rPr>
              <w:t>*</w:t>
            </w:r>
          </w:p>
        </w:tc>
        <w:tc>
          <w:tcPr>
            <w:tcW w:w="1360" w:type="dxa"/>
          </w:tcPr>
          <w:p w14:paraId="08BD62E5" w14:textId="2C035F4D" w:rsidR="00A36BA5" w:rsidRPr="008270BA" w:rsidRDefault="008270BA">
            <w:pPr>
              <w:pStyle w:val="TableParagraph"/>
              <w:ind w:left="16"/>
              <w:jc w:val="center"/>
              <w:rPr>
                <w:w w:val="90"/>
                <w:sz w:val="24"/>
              </w:rPr>
            </w:pPr>
            <w:r w:rsidRPr="008270BA">
              <w:rPr>
                <w:w w:val="90"/>
                <w:sz w:val="24"/>
              </w:rPr>
              <w:t>*</w:t>
            </w:r>
          </w:p>
        </w:tc>
        <w:tc>
          <w:tcPr>
            <w:tcW w:w="1360" w:type="dxa"/>
          </w:tcPr>
          <w:p w14:paraId="6487A050" w14:textId="77777777" w:rsidR="00A36BA5" w:rsidRPr="008270BA" w:rsidRDefault="008270BA">
            <w:pPr>
              <w:pStyle w:val="TableParagraph"/>
              <w:ind w:left="18"/>
              <w:jc w:val="center"/>
              <w:rPr>
                <w:w w:val="90"/>
                <w:sz w:val="24"/>
              </w:rPr>
            </w:pPr>
            <w:r w:rsidRPr="008270BA">
              <w:rPr>
                <w:w w:val="90"/>
                <w:sz w:val="24"/>
              </w:rPr>
              <w:t>*</w:t>
            </w:r>
          </w:p>
        </w:tc>
      </w:tr>
    </w:tbl>
    <w:p w14:paraId="171679BC" w14:textId="77777777" w:rsidR="00A36BA5" w:rsidRPr="008270BA" w:rsidRDefault="00A36BA5">
      <w:pPr>
        <w:jc w:val="center"/>
        <w:rPr>
          <w:w w:val="90"/>
          <w:sz w:val="24"/>
        </w:rPr>
        <w:sectPr w:rsidR="00A36BA5" w:rsidRPr="008270BA">
          <w:pgSz w:w="12240" w:h="15840"/>
          <w:pgMar w:top="1240" w:right="980" w:bottom="1280" w:left="1060" w:header="731" w:footer="997" w:gutter="0"/>
          <w:cols w:space="720"/>
        </w:sectPr>
      </w:pPr>
    </w:p>
    <w:p w14:paraId="5448D166" w14:textId="456E09FD" w:rsidR="00A36BA5" w:rsidRPr="008270BA" w:rsidRDefault="009D4B53">
      <w:pPr>
        <w:pStyle w:val="BodyText"/>
        <w:spacing w:before="3" w:after="1"/>
        <w:rPr>
          <w:w w:val="90"/>
          <w:sz w:val="17"/>
        </w:rPr>
      </w:pPr>
      <w:r>
        <w:rPr>
          <w:i/>
          <w:noProof/>
        </w:rPr>
        <w:lastRenderedPageBreak/>
        <mc:AlternateContent>
          <mc:Choice Requires="wps">
            <w:drawing>
              <wp:anchor distT="45720" distB="45720" distL="114300" distR="114300" simplePos="0" relativeHeight="487629824" behindDoc="0" locked="0" layoutInCell="1" allowOverlap="1" wp14:anchorId="042F2918" wp14:editId="79B23A28">
                <wp:simplePos x="0" y="0"/>
                <wp:positionH relativeFrom="column">
                  <wp:posOffset>6060440</wp:posOffset>
                </wp:positionH>
                <wp:positionV relativeFrom="paragraph">
                  <wp:posOffset>8434070</wp:posOffset>
                </wp:positionV>
                <wp:extent cx="405765" cy="25209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DC46" w14:textId="09FC80BA" w:rsidR="00A3515D" w:rsidRPr="002F0576" w:rsidRDefault="00A3515D" w:rsidP="00A3515D">
                            <w:pPr>
                              <w:rPr>
                                <w:lang w:val="en-US"/>
                              </w:rPr>
                            </w:pPr>
                            <w:r>
                              <w:t>40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2F2918" id="_x0000_s1060" type="#_x0000_t202" style="position:absolute;margin-left:477.2pt;margin-top:664.1pt;width:31.95pt;height:19.85pt;z-index:487629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" stroked="f">
                <v:textbox style="mso-fit-shape-to-text:t">
                  <w:txbxContent>
                    <w:p w14:paraId="6A10DC46" w14:textId="09FC80BA" w:rsidR="00A3515D" w:rsidRPr="002F0576" w:rsidRDefault="00A3515D" w:rsidP="00A3515D">
                      <w:pPr>
                        <w:rPr>
                          <w:lang w:val="en-US"/>
                        </w:rPr>
                      </w:pPr>
                      <w:r>
                        <w:t>40</w:t>
                      </w:r>
                    </w:p>
                  </w:txbxContent>
                </v:textbox>
                <w10:wrap type="square"/>
              </v:shape>
            </w:pict>
          </mc:Fallback>
        </mc:AlternateContent>
      </w:r>
      <w:r>
        <w:rPr>
          <w:noProof/>
          <w:w w:val="90"/>
        </w:rPr>
        <mc:AlternateContent>
          <mc:Choice Requires="wps">
            <w:drawing>
              <wp:anchor distT="0" distB="0" distL="114300" distR="114300" simplePos="0" relativeHeight="486229504" behindDoc="1" locked="0" layoutInCell="1" allowOverlap="1" wp14:anchorId="1FCD0DDC" wp14:editId="4C255075">
                <wp:simplePos x="0" y="0"/>
                <wp:positionH relativeFrom="page">
                  <wp:posOffset>986155</wp:posOffset>
                </wp:positionH>
                <wp:positionV relativeFrom="page">
                  <wp:posOffset>4866640</wp:posOffset>
                </wp:positionV>
                <wp:extent cx="76200" cy="10795"/>
                <wp:effectExtent l="0" t="0" r="0" b="0"/>
                <wp:wrapNone/>
                <wp:docPr id="12" name="1734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0AD2D" id="1734897" o:spid="_x0000_s1026" style="position:absolute;margin-left:77.65pt;margin-top:383.2pt;width:6pt;height:.85pt;z-index:-1708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" fillcolor="black" stroked="f">
                <w10:wrap anchorx="page" anchory="page"/>
              </v:rect>
            </w:pict>
          </mc:Fallback>
        </mc:AlternateContent>
      </w:r>
    </w:p>
    <w:tbl>
      <w:tblPr>
        <w:tblStyle w:val="TableNormal1"/>
        <w:tblW w:w="0" w:type="auto"/>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80"/>
        <w:gridCol w:w="1200"/>
        <w:gridCol w:w="820"/>
        <w:gridCol w:w="1360"/>
        <w:gridCol w:w="1340"/>
        <w:gridCol w:w="1360"/>
      </w:tblGrid>
      <w:tr w:rsidR="00A36BA5" w:rsidRPr="008270BA" w14:paraId="3D74074F" w14:textId="77777777">
        <w:trPr>
          <w:trHeight w:val="2320"/>
        </w:trPr>
        <w:tc>
          <w:tcPr>
            <w:tcW w:w="3480" w:type="dxa"/>
            <w:shd w:val="clear" w:color="auto" w:fill="001F5F"/>
          </w:tcPr>
          <w:p w14:paraId="0896276D" w14:textId="77777777" w:rsidR="00A36BA5" w:rsidRPr="00350D69" w:rsidRDefault="00A36BA5">
            <w:pPr>
              <w:pStyle w:val="TableParagraph"/>
              <w:spacing w:before="0"/>
              <w:rPr>
                <w:w w:val="90"/>
                <w:sz w:val="18"/>
                <w:szCs w:val="18"/>
              </w:rPr>
            </w:pPr>
          </w:p>
          <w:p w14:paraId="03732D42" w14:textId="77777777" w:rsidR="00A36BA5" w:rsidRPr="00350D69" w:rsidRDefault="00A36BA5">
            <w:pPr>
              <w:pStyle w:val="TableParagraph"/>
              <w:spacing w:before="0"/>
              <w:rPr>
                <w:w w:val="90"/>
                <w:sz w:val="18"/>
                <w:szCs w:val="18"/>
              </w:rPr>
            </w:pPr>
          </w:p>
          <w:p w14:paraId="749BFA57" w14:textId="77777777" w:rsidR="00A36BA5" w:rsidRPr="00350D69" w:rsidRDefault="00A36BA5">
            <w:pPr>
              <w:pStyle w:val="TableParagraph"/>
              <w:spacing w:before="5"/>
              <w:rPr>
                <w:w w:val="90"/>
                <w:sz w:val="18"/>
                <w:szCs w:val="18"/>
              </w:rPr>
            </w:pPr>
          </w:p>
          <w:p w14:paraId="1EDFD2BE" w14:textId="77777777" w:rsidR="00A36BA5" w:rsidRPr="00350D69" w:rsidRDefault="008270BA">
            <w:pPr>
              <w:pStyle w:val="TableParagraph"/>
              <w:spacing w:before="1"/>
              <w:ind w:left="1185" w:right="1149"/>
              <w:jc w:val="center"/>
              <w:rPr>
                <w:b/>
                <w:w w:val="90"/>
                <w:sz w:val="18"/>
                <w:szCs w:val="18"/>
              </w:rPr>
            </w:pPr>
            <w:r w:rsidRPr="00350D69">
              <w:rPr>
                <w:b/>
                <w:color w:val="FFFFFF"/>
                <w:w w:val="90"/>
                <w:sz w:val="18"/>
                <w:szCs w:val="18"/>
              </w:rPr>
              <w:t>Categoría</w:t>
            </w:r>
          </w:p>
        </w:tc>
        <w:tc>
          <w:tcPr>
            <w:tcW w:w="1200" w:type="dxa"/>
            <w:shd w:val="clear" w:color="auto" w:fill="001F5F"/>
          </w:tcPr>
          <w:p w14:paraId="0BA495AC" w14:textId="77777777" w:rsidR="00A36BA5" w:rsidRPr="00350D69" w:rsidRDefault="008270BA">
            <w:pPr>
              <w:pStyle w:val="TableParagraph"/>
              <w:spacing w:before="0" w:line="251" w:lineRule="exact"/>
              <w:ind w:left="220" w:right="143"/>
              <w:jc w:val="center"/>
              <w:rPr>
                <w:b/>
                <w:w w:val="90"/>
                <w:sz w:val="18"/>
                <w:szCs w:val="18"/>
              </w:rPr>
            </w:pPr>
            <w:r w:rsidRPr="00350D69">
              <w:rPr>
                <w:b/>
                <w:color w:val="FFFFFF"/>
                <w:w w:val="90"/>
                <w:sz w:val="18"/>
                <w:szCs w:val="18"/>
              </w:rPr>
              <w:t>Total</w:t>
            </w:r>
          </w:p>
          <w:p w14:paraId="440EA85F" w14:textId="77777777" w:rsidR="00A36BA5" w:rsidRPr="00350D69" w:rsidRDefault="008270BA">
            <w:pPr>
              <w:pStyle w:val="TableParagraph"/>
              <w:spacing w:before="24" w:line="252" w:lineRule="auto"/>
              <w:ind w:left="168" w:right="103" w:firstLine="3"/>
              <w:jc w:val="center"/>
              <w:rPr>
                <w:b/>
                <w:w w:val="90"/>
                <w:sz w:val="18"/>
                <w:szCs w:val="18"/>
              </w:rPr>
            </w:pPr>
            <w:r w:rsidRPr="00350D69">
              <w:rPr>
                <w:b/>
                <w:color w:val="FFFFFF"/>
                <w:w w:val="90"/>
                <w:sz w:val="18"/>
                <w:szCs w:val="18"/>
              </w:rPr>
              <w:t xml:space="preserve">cantidad de PLWH con evidencia de atención en </w:t>
            </w:r>
          </w:p>
          <w:p w14:paraId="015E29E5" w14:textId="77777777" w:rsidR="00A36BA5" w:rsidRPr="00350D69" w:rsidRDefault="008270BA">
            <w:pPr>
              <w:pStyle w:val="TableParagraph"/>
              <w:spacing w:before="11" w:line="242" w:lineRule="auto"/>
              <w:ind w:left="326" w:right="258" w:firstLine="6"/>
              <w:jc w:val="center"/>
              <w:rPr>
                <w:b/>
                <w:w w:val="90"/>
                <w:sz w:val="18"/>
                <w:szCs w:val="18"/>
              </w:rPr>
            </w:pPr>
            <w:r w:rsidRPr="00350D69">
              <w:rPr>
                <w:b/>
                <w:color w:val="FFFFFF"/>
                <w:w w:val="90"/>
                <w:sz w:val="18"/>
                <w:szCs w:val="18"/>
              </w:rPr>
              <w:t>últimos 5 años:</w:t>
            </w:r>
          </w:p>
        </w:tc>
        <w:tc>
          <w:tcPr>
            <w:tcW w:w="820" w:type="dxa"/>
            <w:shd w:val="clear" w:color="auto" w:fill="001F5F"/>
          </w:tcPr>
          <w:p w14:paraId="1479E074" w14:textId="77777777" w:rsidR="00A36BA5" w:rsidRPr="00350D69" w:rsidRDefault="00A36BA5">
            <w:pPr>
              <w:pStyle w:val="TableParagraph"/>
              <w:spacing w:before="10"/>
              <w:rPr>
                <w:w w:val="90"/>
                <w:sz w:val="18"/>
                <w:szCs w:val="18"/>
              </w:rPr>
            </w:pPr>
          </w:p>
          <w:p w14:paraId="22A486B4" w14:textId="77777777" w:rsidR="00A36BA5" w:rsidRPr="00350D69" w:rsidRDefault="008270BA">
            <w:pPr>
              <w:pStyle w:val="TableParagraph"/>
              <w:spacing w:before="0"/>
              <w:ind w:left="55" w:right="32"/>
              <w:jc w:val="center"/>
              <w:rPr>
                <w:b/>
                <w:w w:val="90"/>
                <w:sz w:val="18"/>
                <w:szCs w:val="18"/>
              </w:rPr>
            </w:pPr>
            <w:r w:rsidRPr="00350D69">
              <w:rPr>
                <w:b/>
                <w:color w:val="FFFFFF"/>
                <w:w w:val="90"/>
                <w:sz w:val="18"/>
                <w:szCs w:val="18"/>
              </w:rPr>
              <w:t>PLWH</w:t>
            </w:r>
          </w:p>
          <w:p w14:paraId="1CD06E17" w14:textId="77777777" w:rsidR="00A36BA5" w:rsidRPr="00350D69" w:rsidRDefault="008270BA">
            <w:pPr>
              <w:pStyle w:val="TableParagraph"/>
              <w:spacing w:before="24" w:line="252" w:lineRule="auto"/>
              <w:ind w:left="179" w:right="137" w:hanging="25"/>
              <w:jc w:val="center"/>
              <w:rPr>
                <w:b/>
                <w:w w:val="90"/>
                <w:sz w:val="18"/>
                <w:szCs w:val="18"/>
              </w:rPr>
            </w:pPr>
            <w:r w:rsidRPr="00350D69">
              <w:rPr>
                <w:b/>
                <w:color w:val="FFFFFF"/>
                <w:w w:val="90"/>
                <w:sz w:val="18"/>
                <w:szCs w:val="18"/>
              </w:rPr>
              <w:t>sin atención en 2019</w:t>
            </w:r>
          </w:p>
        </w:tc>
        <w:tc>
          <w:tcPr>
            <w:tcW w:w="1360" w:type="dxa"/>
            <w:shd w:val="clear" w:color="auto" w:fill="001F5F"/>
          </w:tcPr>
          <w:p w14:paraId="031C1727" w14:textId="77777777" w:rsidR="00A36BA5" w:rsidRPr="00350D69" w:rsidRDefault="00A36BA5">
            <w:pPr>
              <w:pStyle w:val="TableParagraph"/>
              <w:spacing w:before="0"/>
              <w:rPr>
                <w:w w:val="90"/>
                <w:sz w:val="18"/>
                <w:szCs w:val="18"/>
              </w:rPr>
            </w:pPr>
          </w:p>
          <w:p w14:paraId="67B0E422" w14:textId="77777777" w:rsidR="00A36BA5" w:rsidRPr="00350D69" w:rsidRDefault="008270BA">
            <w:pPr>
              <w:pStyle w:val="TableParagraph"/>
              <w:spacing w:before="1" w:line="252" w:lineRule="auto"/>
              <w:ind w:left="237" w:right="206" w:hanging="26"/>
              <w:jc w:val="both"/>
              <w:rPr>
                <w:b/>
                <w:w w:val="90"/>
                <w:sz w:val="18"/>
                <w:szCs w:val="18"/>
              </w:rPr>
            </w:pPr>
            <w:r w:rsidRPr="00350D69">
              <w:rPr>
                <w:b/>
                <w:color w:val="FFFFFF"/>
                <w:w w:val="90"/>
                <w:sz w:val="18"/>
                <w:szCs w:val="18"/>
              </w:rPr>
              <w:t>PLWH en atención sin supresión</w:t>
            </w:r>
          </w:p>
          <w:p w14:paraId="082CCDF4" w14:textId="77777777" w:rsidR="00A36BA5" w:rsidRPr="00350D69" w:rsidRDefault="008270BA">
            <w:pPr>
              <w:pStyle w:val="TableParagraph"/>
              <w:spacing w:before="10" w:line="261" w:lineRule="auto"/>
              <w:ind w:left="294" w:right="119" w:hanging="153"/>
              <w:jc w:val="both"/>
              <w:rPr>
                <w:b/>
                <w:w w:val="90"/>
                <w:sz w:val="18"/>
                <w:szCs w:val="18"/>
              </w:rPr>
            </w:pPr>
            <w:r w:rsidRPr="00350D69">
              <w:rPr>
                <w:b/>
                <w:color w:val="FFFFFF"/>
                <w:w w:val="90"/>
                <w:sz w:val="18"/>
                <w:szCs w:val="18"/>
              </w:rPr>
              <w:t>viral en 2019</w:t>
            </w:r>
          </w:p>
        </w:tc>
        <w:tc>
          <w:tcPr>
            <w:tcW w:w="1340" w:type="dxa"/>
            <w:shd w:val="clear" w:color="auto" w:fill="001F5F"/>
          </w:tcPr>
          <w:p w14:paraId="39E5B10E" w14:textId="77777777" w:rsidR="00A36BA5" w:rsidRPr="00350D69" w:rsidRDefault="00A36BA5">
            <w:pPr>
              <w:pStyle w:val="TableParagraph"/>
              <w:spacing w:before="0"/>
              <w:rPr>
                <w:w w:val="90"/>
                <w:sz w:val="18"/>
                <w:szCs w:val="18"/>
              </w:rPr>
            </w:pPr>
          </w:p>
          <w:p w14:paraId="3BC62E64" w14:textId="77777777" w:rsidR="00A36BA5" w:rsidRPr="00350D69" w:rsidRDefault="00A36BA5">
            <w:pPr>
              <w:pStyle w:val="TableParagraph"/>
              <w:spacing w:before="11"/>
              <w:rPr>
                <w:w w:val="90"/>
                <w:sz w:val="18"/>
                <w:szCs w:val="18"/>
              </w:rPr>
            </w:pPr>
          </w:p>
          <w:p w14:paraId="3CEE9708" w14:textId="77777777" w:rsidR="00A36BA5" w:rsidRPr="00350D69" w:rsidRDefault="008270BA">
            <w:pPr>
              <w:pStyle w:val="TableParagraph"/>
              <w:spacing w:before="0" w:line="252" w:lineRule="auto"/>
              <w:ind w:left="166" w:right="135" w:firstLine="19"/>
              <w:jc w:val="center"/>
              <w:rPr>
                <w:b/>
                <w:w w:val="90"/>
                <w:sz w:val="18"/>
                <w:szCs w:val="18"/>
              </w:rPr>
            </w:pPr>
            <w:r w:rsidRPr="00350D69">
              <w:rPr>
                <w:b/>
                <w:color w:val="FFFFFF"/>
                <w:w w:val="90"/>
                <w:sz w:val="18"/>
                <w:szCs w:val="18"/>
              </w:rPr>
              <w:t>Total que no están en atención ni</w:t>
            </w:r>
          </w:p>
          <w:p w14:paraId="2824EC8B" w14:textId="77777777" w:rsidR="00A36BA5" w:rsidRPr="00350D69" w:rsidRDefault="008270BA">
            <w:pPr>
              <w:pStyle w:val="TableParagraph"/>
              <w:spacing w:before="0" w:line="267" w:lineRule="exact"/>
              <w:ind w:left="68" w:right="30"/>
              <w:jc w:val="center"/>
              <w:rPr>
                <w:b/>
                <w:w w:val="90"/>
                <w:sz w:val="18"/>
                <w:szCs w:val="18"/>
              </w:rPr>
            </w:pPr>
            <w:r w:rsidRPr="00350D69">
              <w:rPr>
                <w:b/>
                <w:color w:val="FFFFFF"/>
                <w:w w:val="90"/>
                <w:sz w:val="18"/>
                <w:szCs w:val="18"/>
              </w:rPr>
              <w:t>tienen supresión viral.</w:t>
            </w:r>
          </w:p>
        </w:tc>
        <w:tc>
          <w:tcPr>
            <w:tcW w:w="1360" w:type="dxa"/>
            <w:shd w:val="clear" w:color="auto" w:fill="001F5F"/>
          </w:tcPr>
          <w:p w14:paraId="2B9353C9" w14:textId="77777777" w:rsidR="00A36BA5" w:rsidRPr="00350D69" w:rsidRDefault="00A36BA5">
            <w:pPr>
              <w:pStyle w:val="TableParagraph"/>
              <w:spacing w:before="0"/>
              <w:rPr>
                <w:w w:val="90"/>
                <w:sz w:val="18"/>
                <w:szCs w:val="18"/>
              </w:rPr>
            </w:pPr>
          </w:p>
          <w:p w14:paraId="4E01FDD7" w14:textId="77777777" w:rsidR="00A36BA5" w:rsidRPr="00350D69" w:rsidRDefault="008270BA">
            <w:pPr>
              <w:pStyle w:val="TableParagraph"/>
              <w:spacing w:before="1" w:line="256" w:lineRule="auto"/>
              <w:ind w:left="149" w:right="85" w:hanging="3"/>
              <w:jc w:val="center"/>
              <w:rPr>
                <w:b/>
                <w:w w:val="90"/>
                <w:sz w:val="18"/>
                <w:szCs w:val="18"/>
              </w:rPr>
            </w:pPr>
            <w:r w:rsidRPr="00350D69">
              <w:rPr>
                <w:b/>
                <w:color w:val="FFFFFF"/>
                <w:w w:val="90"/>
                <w:sz w:val="18"/>
                <w:szCs w:val="18"/>
              </w:rPr>
              <w:t>Porcentaje de la población que no está en atención ni tiene supresión viral.</w:t>
            </w:r>
          </w:p>
        </w:tc>
      </w:tr>
      <w:tr w:rsidR="00A36BA5" w:rsidRPr="008270BA" w14:paraId="3E197ED7" w14:textId="77777777">
        <w:trPr>
          <w:trHeight w:val="420"/>
        </w:trPr>
        <w:tc>
          <w:tcPr>
            <w:tcW w:w="9560" w:type="dxa"/>
            <w:gridSpan w:val="6"/>
          </w:tcPr>
          <w:p w14:paraId="27493240" w14:textId="77777777" w:rsidR="00A36BA5" w:rsidRPr="008270BA" w:rsidRDefault="008270BA">
            <w:pPr>
              <w:pStyle w:val="TableParagraph"/>
              <w:ind w:left="3768" w:right="3732"/>
              <w:jc w:val="center"/>
              <w:rPr>
                <w:i/>
                <w:w w:val="90"/>
                <w:sz w:val="24"/>
              </w:rPr>
            </w:pPr>
            <w:r w:rsidRPr="008270BA">
              <w:rPr>
                <w:i/>
                <w:w w:val="90"/>
                <w:sz w:val="24"/>
              </w:rPr>
              <w:t>Femenino (Sexo de nacimiento)</w:t>
            </w:r>
          </w:p>
        </w:tc>
      </w:tr>
      <w:tr w:rsidR="00A36BA5" w:rsidRPr="008270BA" w14:paraId="09533728" w14:textId="77777777">
        <w:trPr>
          <w:trHeight w:val="420"/>
        </w:trPr>
        <w:tc>
          <w:tcPr>
            <w:tcW w:w="3480" w:type="dxa"/>
          </w:tcPr>
          <w:p w14:paraId="7323E3C8" w14:textId="77777777" w:rsidR="00A36BA5" w:rsidRPr="008270BA" w:rsidRDefault="008270BA">
            <w:pPr>
              <w:pStyle w:val="TableParagraph"/>
              <w:ind w:left="117"/>
              <w:rPr>
                <w:w w:val="90"/>
                <w:sz w:val="24"/>
              </w:rPr>
            </w:pPr>
            <w:r w:rsidRPr="008270BA">
              <w:rPr>
                <w:w w:val="90"/>
                <w:sz w:val="24"/>
              </w:rPr>
              <w:t>Negras</w:t>
            </w:r>
          </w:p>
        </w:tc>
        <w:tc>
          <w:tcPr>
            <w:tcW w:w="1200" w:type="dxa"/>
          </w:tcPr>
          <w:p w14:paraId="42E65C27" w14:textId="77777777" w:rsidR="00A36BA5" w:rsidRPr="008270BA" w:rsidRDefault="008270BA">
            <w:pPr>
              <w:pStyle w:val="TableParagraph"/>
              <w:ind w:left="220" w:right="144"/>
              <w:jc w:val="center"/>
              <w:rPr>
                <w:w w:val="90"/>
                <w:sz w:val="24"/>
              </w:rPr>
            </w:pPr>
            <w:r w:rsidRPr="008270BA">
              <w:rPr>
                <w:w w:val="90"/>
                <w:sz w:val="24"/>
              </w:rPr>
              <w:t>2,178</w:t>
            </w:r>
          </w:p>
        </w:tc>
        <w:tc>
          <w:tcPr>
            <w:tcW w:w="820" w:type="dxa"/>
          </w:tcPr>
          <w:p w14:paraId="1A6A1E9C" w14:textId="77777777" w:rsidR="00A36BA5" w:rsidRPr="008270BA" w:rsidRDefault="008270BA">
            <w:pPr>
              <w:pStyle w:val="TableParagraph"/>
              <w:ind w:left="55" w:right="18"/>
              <w:jc w:val="center"/>
              <w:rPr>
                <w:w w:val="90"/>
                <w:sz w:val="24"/>
              </w:rPr>
            </w:pPr>
            <w:r w:rsidRPr="008270BA">
              <w:rPr>
                <w:w w:val="90"/>
                <w:sz w:val="24"/>
              </w:rPr>
              <w:t>242</w:t>
            </w:r>
          </w:p>
        </w:tc>
        <w:tc>
          <w:tcPr>
            <w:tcW w:w="1360" w:type="dxa"/>
          </w:tcPr>
          <w:p w14:paraId="7425035C" w14:textId="77777777" w:rsidR="00A36BA5" w:rsidRPr="008270BA" w:rsidRDefault="008270BA">
            <w:pPr>
              <w:pStyle w:val="TableParagraph"/>
              <w:ind w:left="68" w:right="45"/>
              <w:jc w:val="center"/>
              <w:rPr>
                <w:w w:val="90"/>
                <w:sz w:val="24"/>
              </w:rPr>
            </w:pPr>
            <w:r w:rsidRPr="008270BA">
              <w:rPr>
                <w:w w:val="90"/>
                <w:sz w:val="24"/>
              </w:rPr>
              <w:t>211</w:t>
            </w:r>
          </w:p>
        </w:tc>
        <w:tc>
          <w:tcPr>
            <w:tcW w:w="1340" w:type="dxa"/>
          </w:tcPr>
          <w:p w14:paraId="4AFEE592" w14:textId="77777777" w:rsidR="00A36BA5" w:rsidRPr="008270BA" w:rsidRDefault="008270BA">
            <w:pPr>
              <w:pStyle w:val="TableParagraph"/>
              <w:ind w:left="68" w:right="26"/>
              <w:jc w:val="center"/>
              <w:rPr>
                <w:w w:val="90"/>
                <w:sz w:val="24"/>
              </w:rPr>
            </w:pPr>
            <w:r w:rsidRPr="008270BA">
              <w:rPr>
                <w:w w:val="90"/>
                <w:sz w:val="24"/>
              </w:rPr>
              <w:t>453</w:t>
            </w:r>
          </w:p>
        </w:tc>
        <w:tc>
          <w:tcPr>
            <w:tcW w:w="1360" w:type="dxa"/>
          </w:tcPr>
          <w:p w14:paraId="2FB9E356" w14:textId="77777777" w:rsidR="00A36BA5" w:rsidRPr="008270BA" w:rsidRDefault="008270BA">
            <w:pPr>
              <w:pStyle w:val="TableParagraph"/>
              <w:ind w:left="68" w:right="4"/>
              <w:jc w:val="center"/>
              <w:rPr>
                <w:w w:val="90"/>
                <w:sz w:val="24"/>
              </w:rPr>
            </w:pPr>
            <w:r w:rsidRPr="008270BA">
              <w:rPr>
                <w:w w:val="90"/>
                <w:sz w:val="24"/>
              </w:rPr>
              <w:t>20.8%</w:t>
            </w:r>
          </w:p>
        </w:tc>
      </w:tr>
      <w:tr w:rsidR="00A36BA5" w:rsidRPr="008270BA" w14:paraId="37D8A020" w14:textId="77777777">
        <w:trPr>
          <w:trHeight w:val="420"/>
        </w:trPr>
        <w:tc>
          <w:tcPr>
            <w:tcW w:w="3480" w:type="dxa"/>
          </w:tcPr>
          <w:p w14:paraId="5877B5FF" w14:textId="77777777" w:rsidR="00A36BA5" w:rsidRPr="008270BA" w:rsidRDefault="008270BA">
            <w:pPr>
              <w:pStyle w:val="TableParagraph"/>
              <w:ind w:left="117"/>
              <w:rPr>
                <w:w w:val="90"/>
                <w:sz w:val="24"/>
              </w:rPr>
            </w:pPr>
            <w:r w:rsidRPr="008270BA">
              <w:rPr>
                <w:w w:val="90"/>
                <w:sz w:val="24"/>
              </w:rPr>
              <w:t>Hispánica/Latina</w:t>
            </w:r>
          </w:p>
        </w:tc>
        <w:tc>
          <w:tcPr>
            <w:tcW w:w="1200" w:type="dxa"/>
          </w:tcPr>
          <w:p w14:paraId="038DE7E2" w14:textId="77777777" w:rsidR="00A36BA5" w:rsidRPr="008270BA" w:rsidRDefault="008270BA">
            <w:pPr>
              <w:pStyle w:val="TableParagraph"/>
              <w:ind w:left="220" w:right="144"/>
              <w:jc w:val="center"/>
              <w:rPr>
                <w:w w:val="90"/>
                <w:sz w:val="24"/>
              </w:rPr>
            </w:pPr>
            <w:r w:rsidRPr="008270BA">
              <w:rPr>
                <w:w w:val="90"/>
                <w:sz w:val="24"/>
              </w:rPr>
              <w:t>391</w:t>
            </w:r>
          </w:p>
        </w:tc>
        <w:tc>
          <w:tcPr>
            <w:tcW w:w="820" w:type="dxa"/>
          </w:tcPr>
          <w:p w14:paraId="76058052" w14:textId="77777777" w:rsidR="00A36BA5" w:rsidRPr="008270BA" w:rsidRDefault="008270BA">
            <w:pPr>
              <w:pStyle w:val="TableParagraph"/>
              <w:ind w:left="55" w:right="18"/>
              <w:jc w:val="center"/>
              <w:rPr>
                <w:w w:val="90"/>
                <w:sz w:val="24"/>
              </w:rPr>
            </w:pPr>
            <w:r w:rsidRPr="008270BA">
              <w:rPr>
                <w:w w:val="90"/>
                <w:sz w:val="24"/>
              </w:rPr>
              <w:t>49</w:t>
            </w:r>
          </w:p>
        </w:tc>
        <w:tc>
          <w:tcPr>
            <w:tcW w:w="1360" w:type="dxa"/>
          </w:tcPr>
          <w:p w14:paraId="4C18C4F9" w14:textId="77777777" w:rsidR="00A36BA5" w:rsidRPr="008270BA" w:rsidRDefault="008270BA">
            <w:pPr>
              <w:pStyle w:val="TableParagraph"/>
              <w:ind w:left="68" w:right="45"/>
              <w:jc w:val="center"/>
              <w:rPr>
                <w:w w:val="90"/>
                <w:sz w:val="24"/>
              </w:rPr>
            </w:pPr>
            <w:r w:rsidRPr="008270BA">
              <w:rPr>
                <w:w w:val="90"/>
                <w:sz w:val="24"/>
              </w:rPr>
              <w:t>28</w:t>
            </w:r>
          </w:p>
        </w:tc>
        <w:tc>
          <w:tcPr>
            <w:tcW w:w="1340" w:type="dxa"/>
          </w:tcPr>
          <w:p w14:paraId="6D494F9C" w14:textId="77777777" w:rsidR="00A36BA5" w:rsidRPr="008270BA" w:rsidRDefault="008270BA">
            <w:pPr>
              <w:pStyle w:val="TableParagraph"/>
              <w:ind w:left="68" w:right="26"/>
              <w:jc w:val="center"/>
              <w:rPr>
                <w:w w:val="90"/>
                <w:sz w:val="24"/>
              </w:rPr>
            </w:pPr>
            <w:r w:rsidRPr="008270BA">
              <w:rPr>
                <w:w w:val="90"/>
                <w:sz w:val="24"/>
              </w:rPr>
              <w:t>77</w:t>
            </w:r>
          </w:p>
        </w:tc>
        <w:tc>
          <w:tcPr>
            <w:tcW w:w="1360" w:type="dxa"/>
          </w:tcPr>
          <w:p w14:paraId="307FF4A1" w14:textId="77777777" w:rsidR="00A36BA5" w:rsidRPr="008270BA" w:rsidRDefault="008270BA">
            <w:pPr>
              <w:pStyle w:val="TableParagraph"/>
              <w:ind w:left="68" w:right="4"/>
              <w:jc w:val="center"/>
              <w:rPr>
                <w:w w:val="90"/>
                <w:sz w:val="24"/>
              </w:rPr>
            </w:pPr>
            <w:r w:rsidRPr="008270BA">
              <w:rPr>
                <w:w w:val="90"/>
                <w:sz w:val="24"/>
              </w:rPr>
              <w:t>19.7%</w:t>
            </w:r>
          </w:p>
        </w:tc>
      </w:tr>
      <w:tr w:rsidR="00A36BA5" w:rsidRPr="008270BA" w14:paraId="6F094C73" w14:textId="77777777">
        <w:trPr>
          <w:trHeight w:val="440"/>
        </w:trPr>
        <w:tc>
          <w:tcPr>
            <w:tcW w:w="3480" w:type="dxa"/>
          </w:tcPr>
          <w:p w14:paraId="0C83CB16" w14:textId="77777777" w:rsidR="00A36BA5" w:rsidRPr="008270BA" w:rsidRDefault="008270BA">
            <w:pPr>
              <w:pStyle w:val="TableParagraph"/>
              <w:ind w:left="117"/>
              <w:rPr>
                <w:w w:val="90"/>
                <w:sz w:val="24"/>
              </w:rPr>
            </w:pPr>
            <w:r w:rsidRPr="008270BA">
              <w:rPr>
                <w:w w:val="90"/>
                <w:sz w:val="24"/>
              </w:rPr>
              <w:t>Multirracial no hispanas</w:t>
            </w:r>
          </w:p>
        </w:tc>
        <w:tc>
          <w:tcPr>
            <w:tcW w:w="1200" w:type="dxa"/>
          </w:tcPr>
          <w:p w14:paraId="3712CE34" w14:textId="77777777" w:rsidR="00A36BA5" w:rsidRPr="008270BA" w:rsidRDefault="008270BA">
            <w:pPr>
              <w:pStyle w:val="TableParagraph"/>
              <w:ind w:left="220" w:right="147"/>
              <w:jc w:val="center"/>
              <w:rPr>
                <w:w w:val="90"/>
                <w:sz w:val="24"/>
              </w:rPr>
            </w:pPr>
            <w:r w:rsidRPr="008270BA">
              <w:rPr>
                <w:w w:val="90"/>
                <w:sz w:val="24"/>
              </w:rPr>
              <w:t>66</w:t>
            </w:r>
          </w:p>
        </w:tc>
        <w:tc>
          <w:tcPr>
            <w:tcW w:w="820" w:type="dxa"/>
          </w:tcPr>
          <w:p w14:paraId="677D781B" w14:textId="77777777" w:rsidR="00A36BA5" w:rsidRPr="008270BA" w:rsidRDefault="008270BA">
            <w:pPr>
              <w:pStyle w:val="TableParagraph"/>
              <w:ind w:left="36"/>
              <w:jc w:val="center"/>
              <w:rPr>
                <w:w w:val="90"/>
                <w:sz w:val="24"/>
              </w:rPr>
            </w:pPr>
            <w:r w:rsidRPr="008270BA">
              <w:rPr>
                <w:w w:val="90"/>
                <w:sz w:val="24"/>
              </w:rPr>
              <w:t>6</w:t>
            </w:r>
          </w:p>
        </w:tc>
        <w:tc>
          <w:tcPr>
            <w:tcW w:w="1360" w:type="dxa"/>
          </w:tcPr>
          <w:p w14:paraId="53758E22" w14:textId="77777777" w:rsidR="00A36BA5" w:rsidRPr="008270BA" w:rsidRDefault="008270BA">
            <w:pPr>
              <w:pStyle w:val="TableParagraph"/>
              <w:ind w:left="9"/>
              <w:jc w:val="center"/>
              <w:rPr>
                <w:w w:val="90"/>
                <w:sz w:val="24"/>
              </w:rPr>
            </w:pPr>
            <w:r w:rsidRPr="008270BA">
              <w:rPr>
                <w:w w:val="90"/>
                <w:sz w:val="24"/>
              </w:rPr>
              <w:t>*</w:t>
            </w:r>
          </w:p>
        </w:tc>
        <w:tc>
          <w:tcPr>
            <w:tcW w:w="1340" w:type="dxa"/>
          </w:tcPr>
          <w:p w14:paraId="5FDA7E86" w14:textId="77777777" w:rsidR="00A36BA5" w:rsidRPr="008270BA" w:rsidRDefault="008270BA">
            <w:pPr>
              <w:pStyle w:val="TableParagraph"/>
              <w:ind w:left="41"/>
              <w:jc w:val="center"/>
              <w:rPr>
                <w:w w:val="90"/>
                <w:sz w:val="24"/>
              </w:rPr>
            </w:pPr>
            <w:r w:rsidRPr="008270BA">
              <w:rPr>
                <w:w w:val="90"/>
                <w:sz w:val="24"/>
              </w:rPr>
              <w:t>*</w:t>
            </w:r>
          </w:p>
        </w:tc>
        <w:tc>
          <w:tcPr>
            <w:tcW w:w="1360" w:type="dxa"/>
          </w:tcPr>
          <w:p w14:paraId="5C34C227" w14:textId="77777777" w:rsidR="00A36BA5" w:rsidRPr="008270BA" w:rsidRDefault="008270BA">
            <w:pPr>
              <w:pStyle w:val="TableParagraph"/>
              <w:ind w:left="63"/>
              <w:jc w:val="center"/>
              <w:rPr>
                <w:w w:val="90"/>
                <w:sz w:val="24"/>
              </w:rPr>
            </w:pPr>
            <w:r w:rsidRPr="008270BA">
              <w:rPr>
                <w:w w:val="90"/>
                <w:sz w:val="24"/>
              </w:rPr>
              <w:t>*</w:t>
            </w:r>
          </w:p>
        </w:tc>
      </w:tr>
      <w:tr w:rsidR="00A36BA5" w:rsidRPr="008270BA" w14:paraId="5B2F262E" w14:textId="77777777">
        <w:trPr>
          <w:trHeight w:val="420"/>
        </w:trPr>
        <w:tc>
          <w:tcPr>
            <w:tcW w:w="3480" w:type="dxa"/>
          </w:tcPr>
          <w:p w14:paraId="52C6C266" w14:textId="77777777" w:rsidR="00A36BA5" w:rsidRPr="008270BA" w:rsidRDefault="008270BA">
            <w:pPr>
              <w:pStyle w:val="TableParagraph"/>
              <w:spacing w:before="35"/>
              <w:ind w:left="117"/>
              <w:rPr>
                <w:w w:val="90"/>
                <w:sz w:val="24"/>
              </w:rPr>
            </w:pPr>
            <w:r w:rsidRPr="008270BA">
              <w:rPr>
                <w:w w:val="90"/>
                <w:sz w:val="24"/>
              </w:rPr>
              <w:t>Blancas</w:t>
            </w:r>
          </w:p>
        </w:tc>
        <w:tc>
          <w:tcPr>
            <w:tcW w:w="1200" w:type="dxa"/>
          </w:tcPr>
          <w:p w14:paraId="2E1CAF2D" w14:textId="77777777" w:rsidR="00A36BA5" w:rsidRPr="008270BA" w:rsidRDefault="008270BA">
            <w:pPr>
              <w:pStyle w:val="TableParagraph"/>
              <w:spacing w:before="35"/>
              <w:ind w:left="220" w:right="147"/>
              <w:jc w:val="center"/>
              <w:rPr>
                <w:w w:val="90"/>
                <w:sz w:val="24"/>
              </w:rPr>
            </w:pPr>
            <w:r w:rsidRPr="008270BA">
              <w:rPr>
                <w:w w:val="90"/>
                <w:sz w:val="24"/>
              </w:rPr>
              <w:t>168</w:t>
            </w:r>
          </w:p>
        </w:tc>
        <w:tc>
          <w:tcPr>
            <w:tcW w:w="820" w:type="dxa"/>
          </w:tcPr>
          <w:p w14:paraId="1D792F4F" w14:textId="77777777" w:rsidR="00A36BA5" w:rsidRPr="008270BA" w:rsidRDefault="008270BA">
            <w:pPr>
              <w:pStyle w:val="TableParagraph"/>
              <w:spacing w:before="35"/>
              <w:ind w:left="55" w:right="18"/>
              <w:jc w:val="center"/>
              <w:rPr>
                <w:w w:val="90"/>
                <w:sz w:val="24"/>
              </w:rPr>
            </w:pPr>
            <w:r w:rsidRPr="008270BA">
              <w:rPr>
                <w:w w:val="90"/>
                <w:sz w:val="24"/>
              </w:rPr>
              <w:t>24</w:t>
            </w:r>
          </w:p>
        </w:tc>
        <w:tc>
          <w:tcPr>
            <w:tcW w:w="1360" w:type="dxa"/>
          </w:tcPr>
          <w:p w14:paraId="4D18BAFF" w14:textId="77777777" w:rsidR="00A36BA5" w:rsidRPr="008270BA" w:rsidRDefault="008270BA">
            <w:pPr>
              <w:pStyle w:val="TableParagraph"/>
              <w:spacing w:before="35"/>
              <w:ind w:left="68" w:right="49"/>
              <w:jc w:val="center"/>
              <w:rPr>
                <w:w w:val="90"/>
                <w:sz w:val="24"/>
              </w:rPr>
            </w:pPr>
            <w:r w:rsidRPr="008270BA">
              <w:rPr>
                <w:w w:val="90"/>
                <w:sz w:val="24"/>
              </w:rPr>
              <w:t>14</w:t>
            </w:r>
          </w:p>
        </w:tc>
        <w:tc>
          <w:tcPr>
            <w:tcW w:w="1340" w:type="dxa"/>
          </w:tcPr>
          <w:p w14:paraId="48CAA58C" w14:textId="77777777" w:rsidR="00A36BA5" w:rsidRPr="008270BA" w:rsidRDefault="008270BA">
            <w:pPr>
              <w:pStyle w:val="TableParagraph"/>
              <w:spacing w:before="35"/>
              <w:ind w:left="68" w:right="26"/>
              <w:jc w:val="center"/>
              <w:rPr>
                <w:w w:val="90"/>
                <w:sz w:val="24"/>
              </w:rPr>
            </w:pPr>
            <w:r w:rsidRPr="008270BA">
              <w:rPr>
                <w:w w:val="90"/>
                <w:sz w:val="24"/>
              </w:rPr>
              <w:t>38</w:t>
            </w:r>
          </w:p>
        </w:tc>
        <w:tc>
          <w:tcPr>
            <w:tcW w:w="1360" w:type="dxa"/>
          </w:tcPr>
          <w:p w14:paraId="213DCEB1" w14:textId="77777777" w:rsidR="00A36BA5" w:rsidRPr="008270BA" w:rsidRDefault="008270BA">
            <w:pPr>
              <w:pStyle w:val="TableParagraph"/>
              <w:spacing w:before="35"/>
              <w:ind w:left="68" w:right="4"/>
              <w:jc w:val="center"/>
              <w:rPr>
                <w:w w:val="90"/>
                <w:sz w:val="24"/>
              </w:rPr>
            </w:pPr>
            <w:r w:rsidRPr="008270BA">
              <w:rPr>
                <w:w w:val="90"/>
                <w:sz w:val="24"/>
              </w:rPr>
              <w:t>22.6%</w:t>
            </w:r>
          </w:p>
        </w:tc>
      </w:tr>
      <w:tr w:rsidR="00A36BA5" w:rsidRPr="008270BA" w14:paraId="4879D9BD" w14:textId="77777777">
        <w:trPr>
          <w:trHeight w:val="420"/>
        </w:trPr>
        <w:tc>
          <w:tcPr>
            <w:tcW w:w="3480" w:type="dxa"/>
          </w:tcPr>
          <w:p w14:paraId="3AD8904C" w14:textId="77777777" w:rsidR="00A36BA5" w:rsidRPr="008270BA" w:rsidRDefault="008270BA">
            <w:pPr>
              <w:pStyle w:val="TableParagraph"/>
              <w:spacing w:before="35"/>
              <w:ind w:left="117"/>
              <w:rPr>
                <w:w w:val="90"/>
                <w:sz w:val="24"/>
              </w:rPr>
            </w:pPr>
            <w:r w:rsidRPr="008270BA">
              <w:rPr>
                <w:w w:val="90"/>
                <w:sz w:val="24"/>
              </w:rPr>
              <w:t>Asiáticas/Isleñas del Pacífico</w:t>
            </w:r>
          </w:p>
        </w:tc>
        <w:tc>
          <w:tcPr>
            <w:tcW w:w="1200" w:type="dxa"/>
          </w:tcPr>
          <w:p w14:paraId="2124886E" w14:textId="77777777" w:rsidR="00A36BA5" w:rsidRPr="008270BA" w:rsidRDefault="008270BA">
            <w:pPr>
              <w:pStyle w:val="TableParagraph"/>
              <w:spacing w:before="35"/>
              <w:ind w:left="220" w:right="147"/>
              <w:jc w:val="center"/>
              <w:rPr>
                <w:w w:val="90"/>
                <w:sz w:val="24"/>
              </w:rPr>
            </w:pPr>
            <w:r w:rsidRPr="008270BA">
              <w:rPr>
                <w:w w:val="90"/>
                <w:sz w:val="24"/>
              </w:rPr>
              <w:t>24</w:t>
            </w:r>
          </w:p>
        </w:tc>
        <w:tc>
          <w:tcPr>
            <w:tcW w:w="820" w:type="dxa"/>
          </w:tcPr>
          <w:p w14:paraId="1192AF1E" w14:textId="77777777" w:rsidR="00A36BA5" w:rsidRPr="008270BA" w:rsidRDefault="008270BA">
            <w:pPr>
              <w:pStyle w:val="TableParagraph"/>
              <w:spacing w:before="35"/>
              <w:ind w:left="25"/>
              <w:jc w:val="center"/>
              <w:rPr>
                <w:w w:val="90"/>
                <w:sz w:val="24"/>
              </w:rPr>
            </w:pPr>
            <w:r w:rsidRPr="008270BA">
              <w:rPr>
                <w:w w:val="90"/>
                <w:sz w:val="24"/>
              </w:rPr>
              <w:t>*</w:t>
            </w:r>
          </w:p>
        </w:tc>
        <w:tc>
          <w:tcPr>
            <w:tcW w:w="1360" w:type="dxa"/>
          </w:tcPr>
          <w:p w14:paraId="4354CC7E" w14:textId="77777777" w:rsidR="00A36BA5" w:rsidRPr="008270BA" w:rsidRDefault="008270BA">
            <w:pPr>
              <w:pStyle w:val="TableParagraph"/>
              <w:spacing w:before="35"/>
              <w:ind w:left="15"/>
              <w:jc w:val="center"/>
              <w:rPr>
                <w:w w:val="90"/>
                <w:sz w:val="24"/>
              </w:rPr>
            </w:pPr>
            <w:r w:rsidRPr="008270BA">
              <w:rPr>
                <w:w w:val="90"/>
                <w:sz w:val="24"/>
              </w:rPr>
              <w:t>*</w:t>
            </w:r>
          </w:p>
        </w:tc>
        <w:tc>
          <w:tcPr>
            <w:tcW w:w="1340" w:type="dxa"/>
          </w:tcPr>
          <w:p w14:paraId="2735D943" w14:textId="77777777" w:rsidR="00A36BA5" w:rsidRPr="008270BA" w:rsidRDefault="008270BA">
            <w:pPr>
              <w:pStyle w:val="TableParagraph"/>
              <w:spacing w:before="35"/>
              <w:ind w:left="36"/>
              <w:jc w:val="center"/>
              <w:rPr>
                <w:w w:val="90"/>
                <w:sz w:val="24"/>
              </w:rPr>
            </w:pPr>
            <w:r w:rsidRPr="008270BA">
              <w:rPr>
                <w:w w:val="90"/>
                <w:sz w:val="24"/>
              </w:rPr>
              <w:t>*</w:t>
            </w:r>
          </w:p>
        </w:tc>
        <w:tc>
          <w:tcPr>
            <w:tcW w:w="1360" w:type="dxa"/>
          </w:tcPr>
          <w:p w14:paraId="57DCB0DC" w14:textId="77777777" w:rsidR="00A36BA5" w:rsidRPr="008270BA" w:rsidRDefault="008270BA">
            <w:pPr>
              <w:pStyle w:val="TableParagraph"/>
              <w:spacing w:before="35"/>
              <w:ind w:left="58"/>
              <w:jc w:val="center"/>
              <w:rPr>
                <w:w w:val="90"/>
                <w:sz w:val="24"/>
              </w:rPr>
            </w:pPr>
            <w:r w:rsidRPr="008270BA">
              <w:rPr>
                <w:w w:val="90"/>
                <w:sz w:val="24"/>
              </w:rPr>
              <w:t>*</w:t>
            </w:r>
          </w:p>
        </w:tc>
      </w:tr>
      <w:tr w:rsidR="00A36BA5" w:rsidRPr="008270BA" w14:paraId="4ED62689" w14:textId="77777777">
        <w:trPr>
          <w:trHeight w:val="420"/>
        </w:trPr>
        <w:tc>
          <w:tcPr>
            <w:tcW w:w="3480" w:type="dxa"/>
          </w:tcPr>
          <w:p w14:paraId="05A2FE22" w14:textId="77777777" w:rsidR="00A36BA5" w:rsidRPr="008270BA" w:rsidRDefault="008270BA">
            <w:pPr>
              <w:pStyle w:val="TableParagraph"/>
              <w:spacing w:before="35"/>
              <w:ind w:left="117"/>
              <w:rPr>
                <w:w w:val="90"/>
                <w:sz w:val="24"/>
              </w:rPr>
            </w:pPr>
            <w:r w:rsidRPr="008270BA">
              <w:rPr>
                <w:w w:val="90"/>
                <w:sz w:val="24"/>
              </w:rPr>
              <w:t>Amerindias/Nativas de Alaska</w:t>
            </w:r>
          </w:p>
        </w:tc>
        <w:tc>
          <w:tcPr>
            <w:tcW w:w="1200" w:type="dxa"/>
          </w:tcPr>
          <w:p w14:paraId="58FC02FE" w14:textId="77777777" w:rsidR="00A36BA5" w:rsidRPr="008270BA" w:rsidRDefault="008270BA">
            <w:pPr>
              <w:pStyle w:val="TableParagraph"/>
              <w:spacing w:before="35"/>
              <w:ind w:left="220" w:right="150"/>
              <w:jc w:val="center"/>
              <w:rPr>
                <w:w w:val="90"/>
                <w:sz w:val="24"/>
              </w:rPr>
            </w:pPr>
            <w:r w:rsidRPr="008270BA">
              <w:rPr>
                <w:w w:val="90"/>
                <w:sz w:val="24"/>
              </w:rPr>
              <w:t>&lt;6</w:t>
            </w:r>
          </w:p>
        </w:tc>
        <w:tc>
          <w:tcPr>
            <w:tcW w:w="820" w:type="dxa"/>
          </w:tcPr>
          <w:p w14:paraId="570B9D4B" w14:textId="77777777" w:rsidR="00A36BA5" w:rsidRPr="008270BA" w:rsidRDefault="008270BA">
            <w:pPr>
              <w:pStyle w:val="TableParagraph"/>
              <w:spacing w:before="35"/>
              <w:ind w:left="25"/>
              <w:jc w:val="center"/>
              <w:rPr>
                <w:w w:val="90"/>
                <w:sz w:val="24"/>
              </w:rPr>
            </w:pPr>
            <w:r w:rsidRPr="008270BA">
              <w:rPr>
                <w:w w:val="90"/>
                <w:sz w:val="24"/>
              </w:rPr>
              <w:t>*</w:t>
            </w:r>
          </w:p>
        </w:tc>
        <w:tc>
          <w:tcPr>
            <w:tcW w:w="1360" w:type="dxa"/>
          </w:tcPr>
          <w:p w14:paraId="739E29F9" w14:textId="77777777" w:rsidR="00A36BA5" w:rsidRPr="008270BA" w:rsidRDefault="008270BA">
            <w:pPr>
              <w:pStyle w:val="TableParagraph"/>
              <w:spacing w:before="35"/>
              <w:ind w:left="15"/>
              <w:jc w:val="center"/>
              <w:rPr>
                <w:w w:val="90"/>
                <w:sz w:val="24"/>
              </w:rPr>
            </w:pPr>
            <w:r w:rsidRPr="008270BA">
              <w:rPr>
                <w:w w:val="90"/>
                <w:sz w:val="24"/>
              </w:rPr>
              <w:t>*</w:t>
            </w:r>
          </w:p>
        </w:tc>
        <w:tc>
          <w:tcPr>
            <w:tcW w:w="1340" w:type="dxa"/>
          </w:tcPr>
          <w:p w14:paraId="15BD2C99" w14:textId="77777777" w:rsidR="00A36BA5" w:rsidRPr="008270BA" w:rsidRDefault="008270BA">
            <w:pPr>
              <w:pStyle w:val="TableParagraph"/>
              <w:spacing w:before="35"/>
              <w:ind w:left="36"/>
              <w:jc w:val="center"/>
              <w:rPr>
                <w:w w:val="90"/>
                <w:sz w:val="24"/>
              </w:rPr>
            </w:pPr>
            <w:r w:rsidRPr="008270BA">
              <w:rPr>
                <w:w w:val="90"/>
                <w:sz w:val="24"/>
              </w:rPr>
              <w:t>*</w:t>
            </w:r>
          </w:p>
        </w:tc>
        <w:tc>
          <w:tcPr>
            <w:tcW w:w="1360" w:type="dxa"/>
          </w:tcPr>
          <w:p w14:paraId="156495DE" w14:textId="77777777" w:rsidR="00A36BA5" w:rsidRPr="008270BA" w:rsidRDefault="008270BA">
            <w:pPr>
              <w:pStyle w:val="TableParagraph"/>
              <w:spacing w:before="35"/>
              <w:ind w:left="58"/>
              <w:jc w:val="center"/>
              <w:rPr>
                <w:w w:val="90"/>
                <w:sz w:val="24"/>
              </w:rPr>
            </w:pPr>
            <w:r w:rsidRPr="008270BA">
              <w:rPr>
                <w:w w:val="90"/>
                <w:sz w:val="24"/>
              </w:rPr>
              <w:t>*</w:t>
            </w:r>
          </w:p>
        </w:tc>
      </w:tr>
      <w:tr w:rsidR="00A36BA5" w:rsidRPr="008270BA" w14:paraId="4696F16D" w14:textId="77777777">
        <w:trPr>
          <w:trHeight w:val="420"/>
        </w:trPr>
        <w:tc>
          <w:tcPr>
            <w:tcW w:w="9560" w:type="dxa"/>
            <w:gridSpan w:val="6"/>
            <w:shd w:val="clear" w:color="auto" w:fill="D9D9D9"/>
          </w:tcPr>
          <w:p w14:paraId="08913B27" w14:textId="77777777" w:rsidR="00A36BA5" w:rsidRPr="008270BA" w:rsidRDefault="008270BA">
            <w:pPr>
              <w:pStyle w:val="TableParagraph"/>
              <w:spacing w:before="35"/>
              <w:ind w:left="117"/>
              <w:rPr>
                <w:b/>
                <w:w w:val="90"/>
                <w:sz w:val="24"/>
              </w:rPr>
            </w:pPr>
            <w:r w:rsidRPr="008270BA">
              <w:rPr>
                <w:b/>
                <w:w w:val="90"/>
                <w:sz w:val="24"/>
              </w:rPr>
              <w:t>Grupo de edad</w:t>
            </w:r>
          </w:p>
        </w:tc>
      </w:tr>
      <w:tr w:rsidR="00A36BA5" w:rsidRPr="008270BA" w14:paraId="6DEFE299" w14:textId="77777777">
        <w:trPr>
          <w:trHeight w:val="420"/>
        </w:trPr>
        <w:tc>
          <w:tcPr>
            <w:tcW w:w="3480" w:type="dxa"/>
          </w:tcPr>
          <w:p w14:paraId="27B8CD86" w14:textId="77777777" w:rsidR="00A36BA5" w:rsidRPr="008270BA" w:rsidRDefault="008270BA">
            <w:pPr>
              <w:pStyle w:val="TableParagraph"/>
              <w:spacing w:before="35"/>
              <w:ind w:left="117"/>
              <w:rPr>
                <w:w w:val="90"/>
                <w:sz w:val="24"/>
              </w:rPr>
            </w:pPr>
            <w:r w:rsidRPr="008270BA">
              <w:rPr>
                <w:w w:val="90"/>
                <w:sz w:val="24"/>
              </w:rPr>
              <w:t>Jóvenes de 13 a 19 años</w:t>
            </w:r>
          </w:p>
        </w:tc>
        <w:tc>
          <w:tcPr>
            <w:tcW w:w="1200" w:type="dxa"/>
          </w:tcPr>
          <w:p w14:paraId="77B148DF" w14:textId="77777777" w:rsidR="00A36BA5" w:rsidRPr="008270BA" w:rsidRDefault="008270BA">
            <w:pPr>
              <w:pStyle w:val="TableParagraph"/>
              <w:spacing w:before="35"/>
              <w:ind w:left="220" w:right="147"/>
              <w:jc w:val="center"/>
              <w:rPr>
                <w:w w:val="90"/>
                <w:sz w:val="24"/>
              </w:rPr>
            </w:pPr>
            <w:r w:rsidRPr="008270BA">
              <w:rPr>
                <w:w w:val="90"/>
                <w:sz w:val="24"/>
              </w:rPr>
              <w:t>74</w:t>
            </w:r>
          </w:p>
        </w:tc>
        <w:tc>
          <w:tcPr>
            <w:tcW w:w="820" w:type="dxa"/>
          </w:tcPr>
          <w:p w14:paraId="67457FE1" w14:textId="77777777" w:rsidR="00A36BA5" w:rsidRPr="008270BA" w:rsidRDefault="008270BA">
            <w:pPr>
              <w:pStyle w:val="TableParagraph"/>
              <w:spacing w:before="35"/>
              <w:ind w:left="55" w:right="21"/>
              <w:jc w:val="center"/>
              <w:rPr>
                <w:w w:val="90"/>
                <w:sz w:val="24"/>
              </w:rPr>
            </w:pPr>
            <w:r w:rsidRPr="008270BA">
              <w:rPr>
                <w:w w:val="90"/>
                <w:sz w:val="24"/>
              </w:rPr>
              <w:t>&lt;6</w:t>
            </w:r>
          </w:p>
        </w:tc>
        <w:tc>
          <w:tcPr>
            <w:tcW w:w="1360" w:type="dxa"/>
          </w:tcPr>
          <w:p w14:paraId="7047D817" w14:textId="77777777" w:rsidR="00A36BA5" w:rsidRPr="008270BA" w:rsidRDefault="008270BA">
            <w:pPr>
              <w:pStyle w:val="TableParagraph"/>
              <w:spacing w:before="35"/>
              <w:ind w:left="68" w:right="45"/>
              <w:jc w:val="center"/>
              <w:rPr>
                <w:w w:val="90"/>
                <w:sz w:val="24"/>
              </w:rPr>
            </w:pPr>
            <w:r w:rsidRPr="008270BA">
              <w:rPr>
                <w:w w:val="90"/>
                <w:sz w:val="24"/>
              </w:rPr>
              <w:t>16</w:t>
            </w:r>
          </w:p>
        </w:tc>
        <w:tc>
          <w:tcPr>
            <w:tcW w:w="1340" w:type="dxa"/>
          </w:tcPr>
          <w:p w14:paraId="0F39E624" w14:textId="77777777" w:rsidR="00A36BA5" w:rsidRPr="008270BA" w:rsidRDefault="008270BA">
            <w:pPr>
              <w:pStyle w:val="TableParagraph"/>
              <w:spacing w:before="35"/>
              <w:ind w:left="41"/>
              <w:jc w:val="center"/>
              <w:rPr>
                <w:w w:val="90"/>
                <w:sz w:val="24"/>
              </w:rPr>
            </w:pPr>
            <w:r w:rsidRPr="008270BA">
              <w:rPr>
                <w:w w:val="90"/>
                <w:sz w:val="24"/>
              </w:rPr>
              <w:t>*</w:t>
            </w:r>
          </w:p>
        </w:tc>
        <w:tc>
          <w:tcPr>
            <w:tcW w:w="1360" w:type="dxa"/>
          </w:tcPr>
          <w:p w14:paraId="3B3EA940" w14:textId="77777777" w:rsidR="00A36BA5" w:rsidRPr="008270BA" w:rsidRDefault="008270BA">
            <w:pPr>
              <w:pStyle w:val="TableParagraph"/>
              <w:spacing w:before="35"/>
              <w:ind w:left="63"/>
              <w:jc w:val="center"/>
              <w:rPr>
                <w:w w:val="90"/>
                <w:sz w:val="24"/>
              </w:rPr>
            </w:pPr>
            <w:r w:rsidRPr="008270BA">
              <w:rPr>
                <w:w w:val="90"/>
                <w:sz w:val="24"/>
              </w:rPr>
              <w:t>*</w:t>
            </w:r>
          </w:p>
        </w:tc>
      </w:tr>
      <w:tr w:rsidR="00A36BA5" w:rsidRPr="008270BA" w14:paraId="5BCDE75B" w14:textId="77777777">
        <w:trPr>
          <w:trHeight w:val="420"/>
        </w:trPr>
        <w:tc>
          <w:tcPr>
            <w:tcW w:w="3480" w:type="dxa"/>
          </w:tcPr>
          <w:p w14:paraId="26D50C6F" w14:textId="77777777" w:rsidR="00A36BA5" w:rsidRPr="008270BA" w:rsidRDefault="008270BA">
            <w:pPr>
              <w:pStyle w:val="TableParagraph"/>
              <w:spacing w:before="35"/>
              <w:ind w:left="117"/>
              <w:rPr>
                <w:w w:val="90"/>
                <w:sz w:val="24"/>
              </w:rPr>
            </w:pPr>
            <w:r w:rsidRPr="008270BA">
              <w:rPr>
                <w:w w:val="90"/>
                <w:sz w:val="24"/>
              </w:rPr>
              <w:t>Jóvenes de 20 a 24 años</w:t>
            </w:r>
          </w:p>
        </w:tc>
        <w:tc>
          <w:tcPr>
            <w:tcW w:w="1200" w:type="dxa"/>
          </w:tcPr>
          <w:p w14:paraId="564AB3BF" w14:textId="77777777" w:rsidR="00A36BA5" w:rsidRPr="008270BA" w:rsidRDefault="008270BA">
            <w:pPr>
              <w:pStyle w:val="TableParagraph"/>
              <w:spacing w:before="35"/>
              <w:ind w:left="220" w:right="144"/>
              <w:jc w:val="center"/>
              <w:rPr>
                <w:w w:val="90"/>
                <w:sz w:val="24"/>
              </w:rPr>
            </w:pPr>
            <w:r w:rsidRPr="008270BA">
              <w:rPr>
                <w:w w:val="90"/>
                <w:sz w:val="24"/>
              </w:rPr>
              <w:t>444</w:t>
            </w:r>
          </w:p>
        </w:tc>
        <w:tc>
          <w:tcPr>
            <w:tcW w:w="820" w:type="dxa"/>
          </w:tcPr>
          <w:p w14:paraId="0ADE93C9" w14:textId="77777777" w:rsidR="00A36BA5" w:rsidRPr="008270BA" w:rsidRDefault="008270BA">
            <w:pPr>
              <w:pStyle w:val="TableParagraph"/>
              <w:spacing w:before="35"/>
              <w:ind w:left="55" w:right="18"/>
              <w:jc w:val="center"/>
              <w:rPr>
                <w:w w:val="90"/>
                <w:sz w:val="24"/>
              </w:rPr>
            </w:pPr>
            <w:r w:rsidRPr="008270BA">
              <w:rPr>
                <w:w w:val="90"/>
                <w:sz w:val="24"/>
              </w:rPr>
              <w:t>54</w:t>
            </w:r>
          </w:p>
        </w:tc>
        <w:tc>
          <w:tcPr>
            <w:tcW w:w="1360" w:type="dxa"/>
          </w:tcPr>
          <w:p w14:paraId="17D840FE" w14:textId="77777777" w:rsidR="00A36BA5" w:rsidRPr="008270BA" w:rsidRDefault="008270BA">
            <w:pPr>
              <w:pStyle w:val="TableParagraph"/>
              <w:spacing w:before="35"/>
              <w:ind w:left="68" w:right="43"/>
              <w:jc w:val="center"/>
              <w:rPr>
                <w:w w:val="90"/>
                <w:sz w:val="24"/>
              </w:rPr>
            </w:pPr>
            <w:r w:rsidRPr="008270BA">
              <w:rPr>
                <w:w w:val="90"/>
                <w:sz w:val="24"/>
              </w:rPr>
              <w:t>89</w:t>
            </w:r>
          </w:p>
        </w:tc>
        <w:tc>
          <w:tcPr>
            <w:tcW w:w="1340" w:type="dxa"/>
          </w:tcPr>
          <w:p w14:paraId="5E4201E0" w14:textId="77777777" w:rsidR="00A36BA5" w:rsidRPr="008270BA" w:rsidRDefault="008270BA">
            <w:pPr>
              <w:pStyle w:val="TableParagraph"/>
              <w:spacing w:before="35"/>
              <w:ind w:left="68" w:right="25"/>
              <w:jc w:val="center"/>
              <w:rPr>
                <w:w w:val="90"/>
                <w:sz w:val="24"/>
              </w:rPr>
            </w:pPr>
            <w:r w:rsidRPr="008270BA">
              <w:rPr>
                <w:w w:val="90"/>
                <w:sz w:val="24"/>
              </w:rPr>
              <w:t>143</w:t>
            </w:r>
          </w:p>
        </w:tc>
        <w:tc>
          <w:tcPr>
            <w:tcW w:w="1360" w:type="dxa"/>
          </w:tcPr>
          <w:p w14:paraId="254ED1A8" w14:textId="77777777" w:rsidR="00A36BA5" w:rsidRPr="008270BA" w:rsidRDefault="008270BA">
            <w:pPr>
              <w:pStyle w:val="TableParagraph"/>
              <w:spacing w:before="35"/>
              <w:ind w:left="68" w:right="4"/>
              <w:jc w:val="center"/>
              <w:rPr>
                <w:w w:val="90"/>
                <w:sz w:val="24"/>
              </w:rPr>
            </w:pPr>
            <w:r w:rsidRPr="008270BA">
              <w:rPr>
                <w:w w:val="90"/>
                <w:sz w:val="24"/>
              </w:rPr>
              <w:t>32.2%</w:t>
            </w:r>
          </w:p>
        </w:tc>
      </w:tr>
      <w:tr w:rsidR="00A36BA5" w:rsidRPr="008270BA" w14:paraId="1F60116A" w14:textId="77777777">
        <w:trPr>
          <w:trHeight w:val="420"/>
        </w:trPr>
        <w:tc>
          <w:tcPr>
            <w:tcW w:w="3480" w:type="dxa"/>
          </w:tcPr>
          <w:p w14:paraId="05317949" w14:textId="77777777" w:rsidR="00A36BA5" w:rsidRPr="008270BA" w:rsidRDefault="008270BA">
            <w:pPr>
              <w:pStyle w:val="TableParagraph"/>
              <w:ind w:left="117"/>
              <w:rPr>
                <w:w w:val="90"/>
                <w:sz w:val="24"/>
              </w:rPr>
            </w:pPr>
            <w:r w:rsidRPr="008270BA">
              <w:rPr>
                <w:w w:val="90"/>
                <w:sz w:val="24"/>
              </w:rPr>
              <w:t>25 -54</w:t>
            </w:r>
          </w:p>
        </w:tc>
        <w:tc>
          <w:tcPr>
            <w:tcW w:w="1200" w:type="dxa"/>
          </w:tcPr>
          <w:p w14:paraId="56069639" w14:textId="77777777" w:rsidR="00A36BA5" w:rsidRPr="008270BA" w:rsidRDefault="008270BA">
            <w:pPr>
              <w:pStyle w:val="TableParagraph"/>
              <w:spacing w:before="35"/>
              <w:ind w:left="220" w:right="146"/>
              <w:jc w:val="center"/>
              <w:rPr>
                <w:w w:val="90"/>
                <w:sz w:val="24"/>
              </w:rPr>
            </w:pPr>
            <w:r w:rsidRPr="008270BA">
              <w:rPr>
                <w:w w:val="90"/>
                <w:sz w:val="24"/>
              </w:rPr>
              <w:t>8,997</w:t>
            </w:r>
          </w:p>
        </w:tc>
        <w:tc>
          <w:tcPr>
            <w:tcW w:w="820" w:type="dxa"/>
          </w:tcPr>
          <w:p w14:paraId="55BDE518" w14:textId="77777777" w:rsidR="00A36BA5" w:rsidRPr="008270BA" w:rsidRDefault="008270BA">
            <w:pPr>
              <w:pStyle w:val="TableParagraph"/>
              <w:ind w:left="55" w:right="22"/>
              <w:jc w:val="center"/>
              <w:rPr>
                <w:w w:val="90"/>
                <w:sz w:val="24"/>
              </w:rPr>
            </w:pPr>
            <w:r w:rsidRPr="008270BA">
              <w:rPr>
                <w:w w:val="90"/>
                <w:sz w:val="24"/>
              </w:rPr>
              <w:t>1,516</w:t>
            </w:r>
          </w:p>
        </w:tc>
        <w:tc>
          <w:tcPr>
            <w:tcW w:w="1360" w:type="dxa"/>
          </w:tcPr>
          <w:p w14:paraId="710AA222" w14:textId="77777777" w:rsidR="00A36BA5" w:rsidRPr="008270BA" w:rsidRDefault="008270BA">
            <w:pPr>
              <w:pStyle w:val="TableParagraph"/>
              <w:ind w:left="68" w:right="44"/>
              <w:jc w:val="center"/>
              <w:rPr>
                <w:w w:val="90"/>
                <w:sz w:val="24"/>
              </w:rPr>
            </w:pPr>
            <w:r w:rsidRPr="008270BA">
              <w:rPr>
                <w:w w:val="90"/>
                <w:sz w:val="24"/>
              </w:rPr>
              <w:t>1,127</w:t>
            </w:r>
          </w:p>
        </w:tc>
        <w:tc>
          <w:tcPr>
            <w:tcW w:w="1340" w:type="dxa"/>
          </w:tcPr>
          <w:p w14:paraId="3FFAD914" w14:textId="77777777" w:rsidR="00A36BA5" w:rsidRPr="008270BA" w:rsidRDefault="008270BA">
            <w:pPr>
              <w:pStyle w:val="TableParagraph"/>
              <w:ind w:left="68" w:right="26"/>
              <w:jc w:val="center"/>
              <w:rPr>
                <w:w w:val="90"/>
                <w:sz w:val="24"/>
              </w:rPr>
            </w:pPr>
            <w:r w:rsidRPr="008270BA">
              <w:rPr>
                <w:w w:val="90"/>
                <w:sz w:val="24"/>
              </w:rPr>
              <w:t>2,643</w:t>
            </w:r>
          </w:p>
        </w:tc>
        <w:tc>
          <w:tcPr>
            <w:tcW w:w="1360" w:type="dxa"/>
          </w:tcPr>
          <w:p w14:paraId="1566AF4E" w14:textId="77777777" w:rsidR="00A36BA5" w:rsidRPr="008270BA" w:rsidRDefault="008270BA">
            <w:pPr>
              <w:pStyle w:val="TableParagraph"/>
              <w:ind w:left="68" w:right="4"/>
              <w:jc w:val="center"/>
              <w:rPr>
                <w:w w:val="90"/>
                <w:sz w:val="24"/>
              </w:rPr>
            </w:pPr>
            <w:r w:rsidRPr="008270BA">
              <w:rPr>
                <w:w w:val="90"/>
                <w:sz w:val="24"/>
              </w:rPr>
              <w:t>29.4%</w:t>
            </w:r>
          </w:p>
        </w:tc>
      </w:tr>
      <w:tr w:rsidR="00A36BA5" w:rsidRPr="008270BA" w14:paraId="5C02B85F" w14:textId="77777777">
        <w:trPr>
          <w:trHeight w:val="420"/>
        </w:trPr>
        <w:tc>
          <w:tcPr>
            <w:tcW w:w="3480" w:type="dxa"/>
          </w:tcPr>
          <w:p w14:paraId="4388CD53" w14:textId="77777777" w:rsidR="00A36BA5" w:rsidRPr="008270BA" w:rsidRDefault="008270BA">
            <w:pPr>
              <w:pStyle w:val="TableParagraph"/>
              <w:ind w:left="117"/>
              <w:rPr>
                <w:w w:val="90"/>
                <w:sz w:val="24"/>
              </w:rPr>
            </w:pPr>
            <w:r w:rsidRPr="008270BA">
              <w:rPr>
                <w:w w:val="90"/>
                <w:sz w:val="24"/>
                <w:shd w:val="clear" w:color="auto" w:fill="E6E6E6"/>
              </w:rPr>
              <w:t>&gt;</w:t>
            </w:r>
            <w:r w:rsidRPr="008270BA">
              <w:rPr>
                <w:w w:val="90"/>
                <w:sz w:val="24"/>
              </w:rPr>
              <w:t xml:space="preserve"> 55</w:t>
            </w:r>
          </w:p>
        </w:tc>
        <w:tc>
          <w:tcPr>
            <w:tcW w:w="1200" w:type="dxa"/>
          </w:tcPr>
          <w:p w14:paraId="7239BD5E" w14:textId="77777777" w:rsidR="00A36BA5" w:rsidRPr="008270BA" w:rsidRDefault="008270BA">
            <w:pPr>
              <w:pStyle w:val="TableParagraph"/>
              <w:spacing w:before="35"/>
              <w:ind w:left="220" w:right="146"/>
              <w:jc w:val="center"/>
              <w:rPr>
                <w:w w:val="90"/>
                <w:sz w:val="24"/>
              </w:rPr>
            </w:pPr>
            <w:r w:rsidRPr="008270BA">
              <w:rPr>
                <w:w w:val="90"/>
                <w:sz w:val="24"/>
              </w:rPr>
              <w:t>5,344</w:t>
            </w:r>
          </w:p>
        </w:tc>
        <w:tc>
          <w:tcPr>
            <w:tcW w:w="820" w:type="dxa"/>
          </w:tcPr>
          <w:p w14:paraId="2C22C5A5" w14:textId="77777777" w:rsidR="00A36BA5" w:rsidRPr="008270BA" w:rsidRDefault="008270BA">
            <w:pPr>
              <w:pStyle w:val="TableParagraph"/>
              <w:ind w:left="55" w:right="20"/>
              <w:jc w:val="center"/>
              <w:rPr>
                <w:w w:val="90"/>
                <w:sz w:val="24"/>
              </w:rPr>
            </w:pPr>
            <w:r w:rsidRPr="008270BA">
              <w:rPr>
                <w:w w:val="90"/>
                <w:sz w:val="24"/>
              </w:rPr>
              <w:t>549</w:t>
            </w:r>
          </w:p>
        </w:tc>
        <w:tc>
          <w:tcPr>
            <w:tcW w:w="1360" w:type="dxa"/>
          </w:tcPr>
          <w:p w14:paraId="4D052694" w14:textId="77777777" w:rsidR="00A36BA5" w:rsidRPr="008270BA" w:rsidRDefault="008270BA">
            <w:pPr>
              <w:pStyle w:val="TableParagraph"/>
              <w:spacing w:before="35"/>
              <w:ind w:left="68" w:right="43"/>
              <w:jc w:val="center"/>
              <w:rPr>
                <w:w w:val="90"/>
                <w:sz w:val="24"/>
              </w:rPr>
            </w:pPr>
            <w:r w:rsidRPr="008270BA">
              <w:rPr>
                <w:w w:val="90"/>
                <w:sz w:val="24"/>
              </w:rPr>
              <w:t>352</w:t>
            </w:r>
          </w:p>
        </w:tc>
        <w:tc>
          <w:tcPr>
            <w:tcW w:w="1340" w:type="dxa"/>
          </w:tcPr>
          <w:p w14:paraId="59A5DB39" w14:textId="77777777" w:rsidR="00A36BA5" w:rsidRPr="008270BA" w:rsidRDefault="008270BA">
            <w:pPr>
              <w:pStyle w:val="TableParagraph"/>
              <w:ind w:left="68" w:right="25"/>
              <w:jc w:val="center"/>
              <w:rPr>
                <w:w w:val="90"/>
                <w:sz w:val="24"/>
              </w:rPr>
            </w:pPr>
            <w:r w:rsidRPr="008270BA">
              <w:rPr>
                <w:w w:val="90"/>
                <w:sz w:val="24"/>
              </w:rPr>
              <w:t>901</w:t>
            </w:r>
          </w:p>
        </w:tc>
        <w:tc>
          <w:tcPr>
            <w:tcW w:w="1360" w:type="dxa"/>
          </w:tcPr>
          <w:p w14:paraId="4AD80348" w14:textId="77777777" w:rsidR="00A36BA5" w:rsidRPr="008270BA" w:rsidRDefault="008270BA">
            <w:pPr>
              <w:pStyle w:val="TableParagraph"/>
              <w:ind w:left="68" w:right="4"/>
              <w:jc w:val="center"/>
              <w:rPr>
                <w:w w:val="90"/>
                <w:sz w:val="24"/>
              </w:rPr>
            </w:pPr>
            <w:r w:rsidRPr="008270BA">
              <w:rPr>
                <w:w w:val="90"/>
                <w:sz w:val="24"/>
              </w:rPr>
              <w:t>16.9%</w:t>
            </w:r>
          </w:p>
        </w:tc>
      </w:tr>
      <w:tr w:rsidR="00A36BA5" w:rsidRPr="008270BA" w14:paraId="03A827EB" w14:textId="77777777">
        <w:trPr>
          <w:trHeight w:val="420"/>
        </w:trPr>
        <w:tc>
          <w:tcPr>
            <w:tcW w:w="9560" w:type="dxa"/>
            <w:gridSpan w:val="6"/>
            <w:shd w:val="clear" w:color="auto" w:fill="D9D9D9"/>
          </w:tcPr>
          <w:p w14:paraId="6F67FED5" w14:textId="013C06D8" w:rsidR="00A36BA5" w:rsidRPr="008270BA" w:rsidRDefault="008270BA">
            <w:pPr>
              <w:pStyle w:val="TableParagraph"/>
              <w:ind w:left="117"/>
              <w:rPr>
                <w:i/>
                <w:w w:val="90"/>
                <w:sz w:val="24"/>
              </w:rPr>
            </w:pPr>
            <w:r w:rsidRPr="008270BA">
              <w:rPr>
                <w:i/>
                <w:w w:val="90"/>
                <w:sz w:val="24"/>
              </w:rPr>
              <w:t>° Incluye PWID, Contacto sexual/PWID, y desconocido/NIR)</w:t>
            </w:r>
          </w:p>
        </w:tc>
      </w:tr>
    </w:tbl>
    <w:p w14:paraId="651023A2" w14:textId="77777777" w:rsidR="00A36BA5" w:rsidRPr="008270BA" w:rsidRDefault="00A36BA5">
      <w:pPr>
        <w:rPr>
          <w:w w:val="90"/>
          <w:sz w:val="24"/>
        </w:rPr>
        <w:sectPr w:rsidR="00A36BA5" w:rsidRPr="008270BA">
          <w:pgSz w:w="12240" w:h="15840"/>
          <w:pgMar w:top="1240" w:right="980" w:bottom="1280" w:left="1060" w:header="731" w:footer="997" w:gutter="0"/>
          <w:cols w:space="720"/>
        </w:sectPr>
      </w:pPr>
    </w:p>
    <w:p w14:paraId="3733DFB5" w14:textId="77777777" w:rsidR="00A36BA5" w:rsidRPr="008270BA" w:rsidRDefault="008270BA">
      <w:pPr>
        <w:pStyle w:val="Heading2"/>
        <w:ind w:right="645"/>
        <w:rPr>
          <w:w w:val="90"/>
        </w:rPr>
      </w:pPr>
      <w:bookmarkStart w:id="23" w:name="_TOC_250001"/>
      <w:r w:rsidRPr="008270BA">
        <w:rPr>
          <w:w w:val="90"/>
        </w:rPr>
        <w:lastRenderedPageBreak/>
        <w:t xml:space="preserve">Apéndice C: Definiciones de la Continuidad de Atención del VIH Modificada </w:t>
      </w:r>
      <w:bookmarkEnd w:id="23"/>
      <w:r w:rsidRPr="008270BA">
        <w:rPr>
          <w:w w:val="90"/>
        </w:rPr>
        <w:t>por etapa</w:t>
      </w:r>
    </w:p>
    <w:p w14:paraId="5C1A0522" w14:textId="16B28B46" w:rsidR="00A36BA5" w:rsidRPr="008270BA" w:rsidRDefault="009D4B53">
      <w:pPr>
        <w:pStyle w:val="BodyText"/>
        <w:spacing w:before="10"/>
        <w:rPr>
          <w:w w:val="90"/>
          <w:sz w:val="27"/>
        </w:rPr>
      </w:pPr>
      <w:r>
        <w:rPr>
          <w:noProof/>
        </w:rPr>
        <mc:AlternateContent>
          <mc:Choice Requires="wps">
            <w:drawing>
              <wp:anchor distT="45720" distB="45720" distL="114300" distR="114300" simplePos="0" relativeHeight="487630848" behindDoc="0" locked="0" layoutInCell="1" allowOverlap="1" wp14:anchorId="042F2918" wp14:editId="145EDF8B">
                <wp:simplePos x="0" y="0"/>
                <wp:positionH relativeFrom="column">
                  <wp:posOffset>6120130</wp:posOffset>
                </wp:positionH>
                <wp:positionV relativeFrom="paragraph">
                  <wp:posOffset>7967345</wp:posOffset>
                </wp:positionV>
                <wp:extent cx="405765" cy="25209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36E97" w14:textId="41F0F2ED" w:rsidR="00A3515D" w:rsidRPr="002F0576" w:rsidRDefault="00A3515D" w:rsidP="00A3515D">
                            <w:pPr>
                              <w:rPr>
                                <w:lang w:val="en-US"/>
                              </w:rPr>
                            </w:pPr>
                            <w:r>
                              <w:t>41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2F2918" id="_x0000_s1061" type="#_x0000_t202" style="position:absolute;margin-left:481.9pt;margin-top:627.35pt;width:31.95pt;height:19.85pt;z-index:487630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" stroked="f">
                <v:textbox style="mso-fit-shape-to-text:t">
                  <w:txbxContent>
                    <w:p w14:paraId="22536E97" w14:textId="41F0F2ED" w:rsidR="00A3515D" w:rsidRPr="002F0576" w:rsidRDefault="00A3515D" w:rsidP="00A3515D">
                      <w:pPr>
                        <w:rPr>
                          <w:lang w:val="en-US"/>
                        </w:rPr>
                      </w:pPr>
                      <w:r>
                        <w:t>41</w:t>
                      </w:r>
                    </w:p>
                  </w:txbxContent>
                </v:textbox>
                <w10:wrap type="square"/>
              </v:shape>
            </w:pict>
          </mc:Fallback>
        </mc:AlternateContent>
      </w:r>
    </w:p>
    <w:tbl>
      <w:tblPr>
        <w:tblStyle w:val="TableNormal1"/>
        <w:tblW w:w="0" w:type="auto"/>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60"/>
        <w:gridCol w:w="3520"/>
        <w:gridCol w:w="4180"/>
      </w:tblGrid>
      <w:tr w:rsidR="00A36BA5" w:rsidRPr="008270BA" w14:paraId="58CF76BA" w14:textId="77777777">
        <w:trPr>
          <w:trHeight w:val="460"/>
        </w:trPr>
        <w:tc>
          <w:tcPr>
            <w:tcW w:w="1660" w:type="dxa"/>
            <w:shd w:val="clear" w:color="auto" w:fill="001F5F"/>
          </w:tcPr>
          <w:p w14:paraId="6D43D625" w14:textId="77777777" w:rsidR="00A36BA5" w:rsidRPr="008270BA" w:rsidRDefault="008270BA">
            <w:pPr>
              <w:pStyle w:val="TableParagraph"/>
              <w:ind w:left="406"/>
              <w:rPr>
                <w:b/>
                <w:w w:val="90"/>
                <w:sz w:val="24"/>
              </w:rPr>
            </w:pPr>
            <w:r w:rsidRPr="008270BA">
              <w:rPr>
                <w:b/>
                <w:color w:val="FFFFFF"/>
                <w:w w:val="90"/>
                <w:sz w:val="24"/>
              </w:rPr>
              <w:t>Indicador</w:t>
            </w:r>
          </w:p>
        </w:tc>
        <w:tc>
          <w:tcPr>
            <w:tcW w:w="3520" w:type="dxa"/>
            <w:shd w:val="clear" w:color="auto" w:fill="001F5F"/>
          </w:tcPr>
          <w:p w14:paraId="5E7B3FC0" w14:textId="77777777" w:rsidR="00A36BA5" w:rsidRPr="008270BA" w:rsidRDefault="008270BA">
            <w:pPr>
              <w:pStyle w:val="TableParagraph"/>
              <w:ind w:left="692"/>
              <w:rPr>
                <w:b/>
                <w:w w:val="90"/>
                <w:sz w:val="24"/>
              </w:rPr>
            </w:pPr>
            <w:r w:rsidRPr="008270BA">
              <w:rPr>
                <w:b/>
                <w:color w:val="FFFFFF"/>
                <w:w w:val="90"/>
                <w:sz w:val="24"/>
              </w:rPr>
              <w:t>Definición del numerador</w:t>
            </w:r>
          </w:p>
        </w:tc>
        <w:tc>
          <w:tcPr>
            <w:tcW w:w="4180" w:type="dxa"/>
            <w:shd w:val="clear" w:color="auto" w:fill="001F5F"/>
          </w:tcPr>
          <w:p w14:paraId="3949A1C3" w14:textId="77777777" w:rsidR="00A36BA5" w:rsidRPr="008270BA" w:rsidRDefault="008270BA">
            <w:pPr>
              <w:pStyle w:val="TableParagraph"/>
              <w:ind w:left="907"/>
              <w:rPr>
                <w:b/>
                <w:w w:val="90"/>
                <w:sz w:val="24"/>
              </w:rPr>
            </w:pPr>
            <w:r w:rsidRPr="008270BA">
              <w:rPr>
                <w:b/>
                <w:color w:val="FFFFFF"/>
                <w:w w:val="90"/>
                <w:sz w:val="24"/>
              </w:rPr>
              <w:t>Definición del denominador</w:t>
            </w:r>
          </w:p>
        </w:tc>
      </w:tr>
      <w:tr w:rsidR="00A36BA5" w:rsidRPr="008270BA" w14:paraId="4516DD8C" w14:textId="77777777">
        <w:trPr>
          <w:trHeight w:val="1900"/>
        </w:trPr>
        <w:tc>
          <w:tcPr>
            <w:tcW w:w="1660" w:type="dxa"/>
          </w:tcPr>
          <w:p w14:paraId="2A0AA2F3" w14:textId="77777777" w:rsidR="00A36BA5" w:rsidRPr="008270BA" w:rsidRDefault="00A36BA5">
            <w:pPr>
              <w:pStyle w:val="TableParagraph"/>
              <w:spacing w:before="0"/>
              <w:rPr>
                <w:w w:val="90"/>
                <w:sz w:val="26"/>
              </w:rPr>
            </w:pPr>
          </w:p>
          <w:p w14:paraId="751A14E6" w14:textId="77777777" w:rsidR="00A36BA5" w:rsidRPr="008270BA" w:rsidRDefault="00A36BA5">
            <w:pPr>
              <w:pStyle w:val="TableParagraph"/>
              <w:spacing w:before="5"/>
              <w:rPr>
                <w:w w:val="90"/>
                <w:sz w:val="27"/>
              </w:rPr>
            </w:pPr>
          </w:p>
          <w:p w14:paraId="04A0A67B" w14:textId="77777777" w:rsidR="00A36BA5" w:rsidRPr="008270BA" w:rsidRDefault="008270BA">
            <w:pPr>
              <w:pStyle w:val="TableParagraph"/>
              <w:spacing w:before="0" w:line="278" w:lineRule="auto"/>
              <w:ind w:left="140"/>
              <w:rPr>
                <w:w w:val="90"/>
                <w:sz w:val="24"/>
              </w:rPr>
            </w:pPr>
            <w:r w:rsidRPr="008270BA">
              <w:rPr>
                <w:w w:val="90"/>
                <w:sz w:val="24"/>
              </w:rPr>
              <w:t>Infección por VIH diagnosticada</w:t>
            </w:r>
          </w:p>
        </w:tc>
        <w:tc>
          <w:tcPr>
            <w:tcW w:w="3520" w:type="dxa"/>
          </w:tcPr>
          <w:p w14:paraId="221F77F4" w14:textId="77777777" w:rsidR="00A36BA5" w:rsidRPr="008270BA" w:rsidRDefault="00A36BA5">
            <w:pPr>
              <w:pStyle w:val="TableParagraph"/>
              <w:spacing w:before="0"/>
              <w:rPr>
                <w:w w:val="90"/>
                <w:sz w:val="26"/>
              </w:rPr>
            </w:pPr>
          </w:p>
          <w:p w14:paraId="2C49991E" w14:textId="77777777" w:rsidR="00A36BA5" w:rsidRPr="008270BA" w:rsidRDefault="008270BA">
            <w:pPr>
              <w:pStyle w:val="TableParagraph"/>
              <w:spacing w:before="156" w:line="278" w:lineRule="auto"/>
              <w:ind w:left="117" w:right="219"/>
              <w:jc w:val="both"/>
              <w:rPr>
                <w:w w:val="90"/>
                <w:sz w:val="24"/>
              </w:rPr>
            </w:pPr>
            <w:r w:rsidRPr="008270BA">
              <w:rPr>
                <w:w w:val="90"/>
                <w:sz w:val="24"/>
              </w:rPr>
              <w:t>Cantidad de PLWH en Filadelfia con infección por VIH diagnosticada en 2019</w:t>
            </w:r>
          </w:p>
        </w:tc>
        <w:tc>
          <w:tcPr>
            <w:tcW w:w="4180" w:type="dxa"/>
          </w:tcPr>
          <w:p w14:paraId="1E83E6B2" w14:textId="77777777" w:rsidR="00A36BA5" w:rsidRPr="008270BA" w:rsidRDefault="008270BA">
            <w:pPr>
              <w:pStyle w:val="TableParagraph"/>
              <w:spacing w:before="0" w:line="251" w:lineRule="exact"/>
              <w:ind w:left="117"/>
              <w:rPr>
                <w:w w:val="90"/>
                <w:sz w:val="24"/>
              </w:rPr>
            </w:pPr>
            <w:r w:rsidRPr="008270BA">
              <w:rPr>
                <w:w w:val="90"/>
                <w:sz w:val="24"/>
              </w:rPr>
              <w:t xml:space="preserve">Cantidad de PLWH en Filadelfia con diagnóstico de infección por VIH </w:t>
            </w:r>
          </w:p>
          <w:p w14:paraId="4536097D" w14:textId="77777777" w:rsidR="00A36BA5" w:rsidRPr="008270BA" w:rsidRDefault="008270BA" w:rsidP="00A933EC">
            <w:pPr>
              <w:pStyle w:val="TableParagraph"/>
              <w:spacing w:before="64" w:line="273" w:lineRule="auto"/>
              <w:ind w:left="117" w:right="395"/>
              <w:rPr>
                <w:w w:val="90"/>
                <w:sz w:val="24"/>
              </w:rPr>
            </w:pPr>
            <w:r w:rsidRPr="008270BA">
              <w:rPr>
                <w:w w:val="90"/>
                <w:sz w:val="24"/>
              </w:rPr>
              <w:t>con CD4 informado o carga viral en los últimos cinco años (1 ene 2015-31 dic 2019) y cantidad de PLWH que se estima que no conocen su estado de VIH</w:t>
            </w:r>
            <w:r w:rsidR="00A933EC">
              <w:rPr>
                <w:w w:val="90"/>
                <w:sz w:val="24"/>
              </w:rPr>
              <w:t xml:space="preserve"> </w:t>
            </w:r>
            <w:r w:rsidRPr="008270BA">
              <w:rPr>
                <w:w w:val="90"/>
                <w:sz w:val="24"/>
              </w:rPr>
              <w:t>en Filadelfia en 2019</w:t>
            </w:r>
          </w:p>
        </w:tc>
      </w:tr>
      <w:tr w:rsidR="00A36BA5" w:rsidRPr="008270BA" w14:paraId="07363F2B" w14:textId="77777777">
        <w:trPr>
          <w:trHeight w:val="1280"/>
        </w:trPr>
        <w:tc>
          <w:tcPr>
            <w:tcW w:w="1660" w:type="dxa"/>
          </w:tcPr>
          <w:p w14:paraId="193E153C" w14:textId="77777777" w:rsidR="00A36BA5" w:rsidRPr="008270BA" w:rsidRDefault="00A36BA5">
            <w:pPr>
              <w:pStyle w:val="TableParagraph"/>
              <w:spacing w:before="4"/>
              <w:rPr>
                <w:w w:val="90"/>
                <w:sz w:val="27"/>
              </w:rPr>
            </w:pPr>
          </w:p>
          <w:p w14:paraId="7DC15C4F" w14:textId="77777777" w:rsidR="00A36BA5" w:rsidRPr="008270BA" w:rsidRDefault="008270BA">
            <w:pPr>
              <w:pStyle w:val="TableParagraph"/>
              <w:spacing w:before="0" w:line="278" w:lineRule="auto"/>
              <w:ind w:left="140" w:right="63"/>
              <w:rPr>
                <w:w w:val="90"/>
                <w:sz w:val="24"/>
              </w:rPr>
            </w:pPr>
            <w:r w:rsidRPr="008270BA">
              <w:rPr>
                <w:w w:val="90"/>
                <w:sz w:val="24"/>
              </w:rPr>
              <w:t>Vinculación a la atención</w:t>
            </w:r>
          </w:p>
        </w:tc>
        <w:tc>
          <w:tcPr>
            <w:tcW w:w="3520" w:type="dxa"/>
          </w:tcPr>
          <w:p w14:paraId="7DFF47C5" w14:textId="77777777" w:rsidR="00A36BA5" w:rsidRPr="008270BA" w:rsidRDefault="008270BA">
            <w:pPr>
              <w:pStyle w:val="TableParagraph"/>
              <w:spacing w:before="0" w:line="273" w:lineRule="auto"/>
              <w:ind w:left="117" w:right="312"/>
              <w:jc w:val="both"/>
              <w:rPr>
                <w:w w:val="90"/>
                <w:sz w:val="24"/>
              </w:rPr>
            </w:pPr>
            <w:r w:rsidRPr="008270BA">
              <w:rPr>
                <w:w w:val="90"/>
                <w:sz w:val="24"/>
              </w:rPr>
              <w:t>Cantidad de personas con nuevo diagnóstico de VIH en Filadelfia que fueron vinculadas con atención en 30 días en 2019</w:t>
            </w:r>
          </w:p>
        </w:tc>
        <w:tc>
          <w:tcPr>
            <w:tcW w:w="4180" w:type="dxa"/>
          </w:tcPr>
          <w:p w14:paraId="4571412F" w14:textId="77777777" w:rsidR="00A36BA5" w:rsidRPr="008270BA" w:rsidRDefault="00A36BA5">
            <w:pPr>
              <w:pStyle w:val="TableParagraph"/>
              <w:spacing w:before="4"/>
              <w:rPr>
                <w:w w:val="90"/>
                <w:sz w:val="27"/>
              </w:rPr>
            </w:pPr>
          </w:p>
          <w:p w14:paraId="24DE8237" w14:textId="77777777" w:rsidR="00A36BA5" w:rsidRPr="008270BA" w:rsidRDefault="008270BA">
            <w:pPr>
              <w:pStyle w:val="TableParagraph"/>
              <w:spacing w:before="0" w:line="278" w:lineRule="auto"/>
              <w:ind w:left="117"/>
              <w:rPr>
                <w:w w:val="90"/>
                <w:sz w:val="24"/>
              </w:rPr>
            </w:pPr>
            <w:r w:rsidRPr="008270BA">
              <w:rPr>
                <w:w w:val="90"/>
                <w:sz w:val="24"/>
              </w:rPr>
              <w:t>Cantidad de personas con nuevo diagnóstico de VIH en 2019 en Filadelfia</w:t>
            </w:r>
          </w:p>
        </w:tc>
      </w:tr>
      <w:tr w:rsidR="00A36BA5" w:rsidRPr="008270BA" w14:paraId="2EF83A06" w14:textId="77777777">
        <w:trPr>
          <w:trHeight w:val="1640"/>
        </w:trPr>
        <w:tc>
          <w:tcPr>
            <w:tcW w:w="1660" w:type="dxa"/>
          </w:tcPr>
          <w:p w14:paraId="4721F72A" w14:textId="77777777" w:rsidR="00A36BA5" w:rsidRPr="008270BA" w:rsidRDefault="008270BA">
            <w:pPr>
              <w:pStyle w:val="TableParagraph"/>
              <w:spacing w:before="0" w:line="251" w:lineRule="exact"/>
              <w:ind w:left="96"/>
              <w:rPr>
                <w:w w:val="90"/>
                <w:sz w:val="24"/>
              </w:rPr>
            </w:pPr>
            <w:r w:rsidRPr="008270BA">
              <w:rPr>
                <w:w w:val="90"/>
                <w:sz w:val="24"/>
              </w:rPr>
              <w:t>En atención</w:t>
            </w:r>
          </w:p>
        </w:tc>
        <w:tc>
          <w:tcPr>
            <w:tcW w:w="3520" w:type="dxa"/>
          </w:tcPr>
          <w:p w14:paraId="7D13D5FA" w14:textId="77777777" w:rsidR="00A36BA5" w:rsidRPr="008270BA" w:rsidRDefault="008270BA">
            <w:pPr>
              <w:pStyle w:val="TableParagraph"/>
              <w:spacing w:before="0" w:line="251" w:lineRule="exact"/>
              <w:ind w:left="117"/>
              <w:rPr>
                <w:w w:val="90"/>
                <w:sz w:val="24"/>
              </w:rPr>
            </w:pPr>
            <w:r w:rsidRPr="008270BA">
              <w:rPr>
                <w:w w:val="90"/>
                <w:sz w:val="24"/>
              </w:rPr>
              <w:t>Cantidad de PLWH en</w:t>
            </w:r>
          </w:p>
          <w:p w14:paraId="7D04E236" w14:textId="77777777" w:rsidR="00A36BA5" w:rsidRPr="008270BA" w:rsidRDefault="008270BA">
            <w:pPr>
              <w:pStyle w:val="TableParagraph"/>
              <w:spacing w:before="64" w:line="268" w:lineRule="auto"/>
              <w:ind w:left="117" w:right="217"/>
              <w:rPr>
                <w:w w:val="90"/>
                <w:sz w:val="24"/>
              </w:rPr>
            </w:pPr>
            <w:r w:rsidRPr="008270BA">
              <w:rPr>
                <w:w w:val="90"/>
                <w:sz w:val="24"/>
              </w:rPr>
              <w:t xml:space="preserve">Filadelfia que tuvieron evidencia de conteo </w:t>
            </w:r>
            <w:r w:rsidRPr="008270BA">
              <w:rPr>
                <w:w w:val="90"/>
                <w:sz w:val="24"/>
                <w:u w:val="single"/>
              </w:rPr>
              <w:t>&gt;</w:t>
            </w:r>
            <w:r w:rsidRPr="008270BA">
              <w:rPr>
                <w:w w:val="90"/>
                <w:sz w:val="24"/>
              </w:rPr>
              <w:t>1 de CD4 y/o carga viral en 2019</w:t>
            </w:r>
          </w:p>
        </w:tc>
        <w:tc>
          <w:tcPr>
            <w:tcW w:w="4180" w:type="dxa"/>
          </w:tcPr>
          <w:p w14:paraId="3F671E57" w14:textId="77777777" w:rsidR="00A36BA5" w:rsidRPr="008270BA" w:rsidRDefault="008270BA">
            <w:pPr>
              <w:pStyle w:val="TableParagraph"/>
              <w:spacing w:before="0" w:line="251" w:lineRule="exact"/>
              <w:ind w:left="131"/>
              <w:jc w:val="both"/>
              <w:rPr>
                <w:w w:val="90"/>
                <w:sz w:val="24"/>
              </w:rPr>
            </w:pPr>
            <w:r w:rsidRPr="008270BA">
              <w:rPr>
                <w:w w:val="90"/>
                <w:sz w:val="24"/>
              </w:rPr>
              <w:t>Cantidad de PLWH en Filadelfia con diagnóstico de infección por VIH</w:t>
            </w:r>
          </w:p>
          <w:p w14:paraId="7203B8A8" w14:textId="77777777" w:rsidR="00A36BA5" w:rsidRPr="008270BA" w:rsidRDefault="008270BA">
            <w:pPr>
              <w:pStyle w:val="TableParagraph"/>
              <w:spacing w:before="4" w:line="242" w:lineRule="auto"/>
              <w:ind w:left="131" w:right="390"/>
              <w:jc w:val="both"/>
              <w:rPr>
                <w:w w:val="90"/>
                <w:sz w:val="24"/>
              </w:rPr>
            </w:pPr>
            <w:r w:rsidRPr="008270BA">
              <w:rPr>
                <w:w w:val="90"/>
                <w:sz w:val="24"/>
              </w:rPr>
              <w:t xml:space="preserve">con CD4 informado o carga viral en los últimos cinco años (1 ene 2015-31 dic 2019) y cantidad de PLWH </w:t>
            </w:r>
          </w:p>
          <w:p w14:paraId="13D0090F" w14:textId="77777777" w:rsidR="00A36BA5" w:rsidRPr="008270BA" w:rsidRDefault="008270BA">
            <w:pPr>
              <w:pStyle w:val="TableParagraph"/>
              <w:spacing w:before="9" w:line="260" w:lineRule="exact"/>
              <w:ind w:left="131" w:right="395"/>
              <w:jc w:val="both"/>
              <w:rPr>
                <w:w w:val="90"/>
                <w:sz w:val="24"/>
              </w:rPr>
            </w:pPr>
            <w:r w:rsidRPr="008270BA">
              <w:rPr>
                <w:w w:val="90"/>
                <w:sz w:val="24"/>
              </w:rPr>
              <w:t xml:space="preserve">que se estima que no conocen su estado de VIH en Filadelfia en 2019 </w:t>
            </w:r>
          </w:p>
        </w:tc>
      </w:tr>
      <w:tr w:rsidR="00A36BA5" w:rsidRPr="008270BA" w14:paraId="6EC5D0B1" w14:textId="77777777">
        <w:trPr>
          <w:trHeight w:val="1920"/>
        </w:trPr>
        <w:tc>
          <w:tcPr>
            <w:tcW w:w="1660" w:type="dxa"/>
          </w:tcPr>
          <w:p w14:paraId="03D6CD27" w14:textId="77777777" w:rsidR="00A36BA5" w:rsidRPr="008270BA" w:rsidRDefault="00A36BA5">
            <w:pPr>
              <w:pStyle w:val="TableParagraph"/>
              <w:spacing w:before="0"/>
              <w:rPr>
                <w:w w:val="90"/>
                <w:sz w:val="26"/>
              </w:rPr>
            </w:pPr>
          </w:p>
          <w:p w14:paraId="628903E5" w14:textId="77777777" w:rsidR="00A36BA5" w:rsidRPr="008270BA" w:rsidRDefault="00A36BA5">
            <w:pPr>
              <w:pStyle w:val="TableParagraph"/>
              <w:spacing w:before="2"/>
              <w:rPr>
                <w:w w:val="90"/>
                <w:sz w:val="29"/>
              </w:rPr>
            </w:pPr>
          </w:p>
          <w:p w14:paraId="3D6740E8" w14:textId="77777777" w:rsidR="00A36BA5" w:rsidRPr="008270BA" w:rsidRDefault="008270BA">
            <w:pPr>
              <w:pStyle w:val="TableParagraph"/>
              <w:spacing w:before="0" w:line="278" w:lineRule="auto"/>
              <w:ind w:left="140"/>
              <w:rPr>
                <w:w w:val="90"/>
                <w:sz w:val="24"/>
              </w:rPr>
            </w:pPr>
            <w:r w:rsidRPr="008270BA">
              <w:rPr>
                <w:w w:val="90"/>
                <w:sz w:val="24"/>
              </w:rPr>
              <w:t>Retención en la atención</w:t>
            </w:r>
          </w:p>
        </w:tc>
        <w:tc>
          <w:tcPr>
            <w:tcW w:w="3520" w:type="dxa"/>
          </w:tcPr>
          <w:p w14:paraId="3D31E085" w14:textId="77777777" w:rsidR="00A36BA5" w:rsidRPr="008270BA" w:rsidRDefault="00A36BA5">
            <w:pPr>
              <w:pStyle w:val="TableParagraph"/>
              <w:spacing w:before="4"/>
              <w:rPr>
                <w:w w:val="90"/>
                <w:sz w:val="27"/>
              </w:rPr>
            </w:pPr>
          </w:p>
          <w:p w14:paraId="3D7F18CC" w14:textId="77777777" w:rsidR="00A36BA5" w:rsidRPr="008270BA" w:rsidRDefault="008270BA">
            <w:pPr>
              <w:pStyle w:val="TableParagraph"/>
              <w:spacing w:before="0" w:line="278" w:lineRule="auto"/>
              <w:ind w:left="117" w:right="217"/>
              <w:rPr>
                <w:w w:val="90"/>
                <w:sz w:val="24"/>
              </w:rPr>
            </w:pPr>
            <w:r w:rsidRPr="008270BA">
              <w:rPr>
                <w:w w:val="90"/>
                <w:sz w:val="24"/>
              </w:rPr>
              <w:t xml:space="preserve">Cantidad de PLWH en Filadelfia que tuvieron evidencia de conteos de </w:t>
            </w:r>
            <w:r w:rsidRPr="008270BA">
              <w:rPr>
                <w:w w:val="90"/>
                <w:sz w:val="24"/>
                <w:u w:val="single"/>
              </w:rPr>
              <w:t>&gt;</w:t>
            </w:r>
            <w:r w:rsidRPr="008270BA">
              <w:rPr>
                <w:w w:val="90"/>
                <w:sz w:val="24"/>
              </w:rPr>
              <w:t>2 CD4 y/o cargas virales con al menos 90 días de diferencia en 2019</w:t>
            </w:r>
          </w:p>
        </w:tc>
        <w:tc>
          <w:tcPr>
            <w:tcW w:w="4180" w:type="dxa"/>
          </w:tcPr>
          <w:p w14:paraId="4FE712B7" w14:textId="77777777" w:rsidR="00A36BA5" w:rsidRPr="008270BA" w:rsidRDefault="008270BA" w:rsidP="00A933EC">
            <w:pPr>
              <w:pStyle w:val="TableParagraph"/>
              <w:spacing w:before="0" w:line="278" w:lineRule="auto"/>
              <w:ind w:left="117" w:right="397"/>
              <w:rPr>
                <w:w w:val="90"/>
                <w:sz w:val="24"/>
              </w:rPr>
            </w:pPr>
            <w:r w:rsidRPr="008270BA">
              <w:rPr>
                <w:w w:val="90"/>
                <w:sz w:val="24"/>
              </w:rPr>
              <w:t>Cantidad de PLWH en Filadelfia con diagnóstico de infección por VIH con CD4 informado o carga viral en los últimos cinco años (1 ene 2015-31 dic 2019) y cantidad de PLWH que se estima que no conocen su estado de VIH</w:t>
            </w:r>
            <w:r w:rsidR="00A933EC">
              <w:rPr>
                <w:w w:val="90"/>
                <w:sz w:val="24"/>
              </w:rPr>
              <w:t xml:space="preserve"> </w:t>
            </w:r>
            <w:r w:rsidRPr="008270BA">
              <w:rPr>
                <w:w w:val="90"/>
                <w:sz w:val="24"/>
              </w:rPr>
              <w:t>en Filadelfia en 2019</w:t>
            </w:r>
          </w:p>
        </w:tc>
      </w:tr>
      <w:tr w:rsidR="00A36BA5" w:rsidRPr="008270BA" w14:paraId="4F9F3523" w14:textId="77777777">
        <w:trPr>
          <w:trHeight w:val="1900"/>
        </w:trPr>
        <w:tc>
          <w:tcPr>
            <w:tcW w:w="1660" w:type="dxa"/>
          </w:tcPr>
          <w:p w14:paraId="35E40AD1" w14:textId="77777777" w:rsidR="00A36BA5" w:rsidRPr="008270BA" w:rsidRDefault="00A36BA5">
            <w:pPr>
              <w:pStyle w:val="TableParagraph"/>
              <w:spacing w:before="0"/>
              <w:rPr>
                <w:w w:val="90"/>
                <w:sz w:val="26"/>
              </w:rPr>
            </w:pPr>
          </w:p>
          <w:p w14:paraId="087FB8CA" w14:textId="77777777" w:rsidR="00A36BA5" w:rsidRPr="008270BA" w:rsidRDefault="00A36BA5">
            <w:pPr>
              <w:pStyle w:val="TableParagraph"/>
              <w:spacing w:before="2"/>
              <w:rPr>
                <w:w w:val="90"/>
                <w:sz w:val="29"/>
              </w:rPr>
            </w:pPr>
          </w:p>
          <w:p w14:paraId="26E0CE17" w14:textId="77777777" w:rsidR="00A36BA5" w:rsidRPr="008270BA" w:rsidRDefault="008270BA">
            <w:pPr>
              <w:pStyle w:val="TableParagraph"/>
              <w:spacing w:before="0"/>
              <w:ind w:left="140"/>
              <w:rPr>
                <w:w w:val="90"/>
                <w:sz w:val="24"/>
              </w:rPr>
            </w:pPr>
            <w:r w:rsidRPr="008270BA">
              <w:rPr>
                <w:w w:val="90"/>
                <w:sz w:val="24"/>
              </w:rPr>
              <w:t xml:space="preserve">Supresión </w:t>
            </w:r>
          </w:p>
          <w:p w14:paraId="194EFE62" w14:textId="77777777" w:rsidR="00A36BA5" w:rsidRPr="008270BA" w:rsidRDefault="008270BA">
            <w:pPr>
              <w:pStyle w:val="TableParagraph"/>
              <w:spacing w:before="24"/>
              <w:ind w:left="140"/>
              <w:rPr>
                <w:w w:val="90"/>
                <w:sz w:val="24"/>
              </w:rPr>
            </w:pPr>
            <w:r w:rsidRPr="008270BA">
              <w:rPr>
                <w:w w:val="90"/>
                <w:sz w:val="24"/>
              </w:rPr>
              <w:t>viral</w:t>
            </w:r>
          </w:p>
        </w:tc>
        <w:tc>
          <w:tcPr>
            <w:tcW w:w="3520" w:type="dxa"/>
          </w:tcPr>
          <w:p w14:paraId="0681A7A8" w14:textId="77777777" w:rsidR="00A36BA5" w:rsidRPr="008270BA" w:rsidRDefault="00A36BA5">
            <w:pPr>
              <w:pStyle w:val="TableParagraph"/>
              <w:spacing w:before="0"/>
              <w:rPr>
                <w:w w:val="90"/>
                <w:sz w:val="26"/>
              </w:rPr>
            </w:pPr>
          </w:p>
          <w:p w14:paraId="37099865" w14:textId="77777777" w:rsidR="00A36BA5" w:rsidRPr="008270BA" w:rsidRDefault="008270BA">
            <w:pPr>
              <w:pStyle w:val="TableParagraph"/>
              <w:spacing w:before="156" w:line="278" w:lineRule="auto"/>
              <w:ind w:left="117" w:right="219"/>
              <w:jc w:val="both"/>
              <w:rPr>
                <w:w w:val="90"/>
                <w:sz w:val="24"/>
              </w:rPr>
            </w:pPr>
            <w:r w:rsidRPr="008270BA">
              <w:rPr>
                <w:w w:val="90"/>
                <w:sz w:val="24"/>
              </w:rPr>
              <w:t>Cantidad de PLWH en Filadelfia cuya última carga viral del año fue &lt;200 copias/</w:t>
            </w:r>
            <w:proofErr w:type="spellStart"/>
            <w:r w:rsidRPr="008270BA">
              <w:rPr>
                <w:w w:val="90"/>
                <w:sz w:val="24"/>
              </w:rPr>
              <w:t>mL</w:t>
            </w:r>
            <w:proofErr w:type="spellEnd"/>
            <w:r w:rsidRPr="008270BA">
              <w:rPr>
                <w:w w:val="90"/>
                <w:sz w:val="24"/>
              </w:rPr>
              <w:t xml:space="preserve"> en 2019</w:t>
            </w:r>
          </w:p>
        </w:tc>
        <w:tc>
          <w:tcPr>
            <w:tcW w:w="4180" w:type="dxa"/>
          </w:tcPr>
          <w:p w14:paraId="062835A9" w14:textId="0829A271" w:rsidR="00A36BA5" w:rsidRPr="008270BA" w:rsidRDefault="008270BA" w:rsidP="00A933EC">
            <w:pPr>
              <w:pStyle w:val="TableParagraph"/>
              <w:spacing w:before="0" w:line="273" w:lineRule="auto"/>
              <w:ind w:left="117" w:right="397"/>
              <w:rPr>
                <w:w w:val="90"/>
                <w:sz w:val="24"/>
              </w:rPr>
            </w:pPr>
            <w:r w:rsidRPr="008270BA">
              <w:rPr>
                <w:w w:val="90"/>
                <w:sz w:val="24"/>
              </w:rPr>
              <w:t>Cantidad de PLWH en Filadelfia con diagnóstico de infección por VIH con CD4 informado o carga viral en los últimos cinco años (1 ene 2015-31 dic 2019) y cantidad de PLWH que se estima que no conocen su estado de VIH</w:t>
            </w:r>
            <w:r w:rsidR="00A933EC">
              <w:rPr>
                <w:w w:val="90"/>
                <w:sz w:val="24"/>
              </w:rPr>
              <w:t xml:space="preserve"> </w:t>
            </w:r>
            <w:r w:rsidRPr="008270BA">
              <w:rPr>
                <w:w w:val="90"/>
                <w:sz w:val="24"/>
              </w:rPr>
              <w:t>en Filadelfia en 2019</w:t>
            </w:r>
          </w:p>
        </w:tc>
      </w:tr>
    </w:tbl>
    <w:p w14:paraId="29C66804" w14:textId="77777777" w:rsidR="00A36BA5" w:rsidRPr="008270BA" w:rsidRDefault="00A36BA5">
      <w:pPr>
        <w:rPr>
          <w:w w:val="90"/>
          <w:sz w:val="24"/>
        </w:rPr>
        <w:sectPr w:rsidR="00A36BA5" w:rsidRPr="008270BA">
          <w:pgSz w:w="12240" w:h="15840"/>
          <w:pgMar w:top="1240" w:right="980" w:bottom="1280" w:left="1060" w:header="731" w:footer="997" w:gutter="0"/>
          <w:cols w:space="720"/>
        </w:sectPr>
      </w:pPr>
    </w:p>
    <w:p w14:paraId="3B91354C" w14:textId="77777777" w:rsidR="00A36BA5" w:rsidRPr="008270BA" w:rsidRDefault="008270BA">
      <w:pPr>
        <w:pStyle w:val="Heading2"/>
        <w:ind w:right="645"/>
        <w:rPr>
          <w:w w:val="90"/>
        </w:rPr>
      </w:pPr>
      <w:bookmarkStart w:id="24" w:name="_TOC_250000"/>
      <w:r w:rsidRPr="008270BA">
        <w:rPr>
          <w:w w:val="90"/>
        </w:rPr>
        <w:lastRenderedPageBreak/>
        <w:t xml:space="preserve">Apéndice D: </w:t>
      </w:r>
      <w:bookmarkEnd w:id="24"/>
      <w:r w:rsidRPr="008270BA">
        <w:rPr>
          <w:w w:val="90"/>
        </w:rPr>
        <w:t>Citas</w:t>
      </w:r>
    </w:p>
    <w:p w14:paraId="4CB68843" w14:textId="77777777" w:rsidR="00A36BA5" w:rsidRPr="008270BA" w:rsidRDefault="008270BA">
      <w:pPr>
        <w:pStyle w:val="ListParagraph"/>
        <w:numPr>
          <w:ilvl w:val="0"/>
          <w:numId w:val="2"/>
        </w:numPr>
        <w:tabs>
          <w:tab w:val="left" w:pos="609"/>
        </w:tabs>
        <w:spacing w:before="294" w:line="266" w:lineRule="auto"/>
        <w:ind w:right="673" w:hanging="641"/>
        <w:rPr>
          <w:w w:val="90"/>
        </w:rPr>
      </w:pPr>
      <w:r w:rsidRPr="008270BA">
        <w:rPr>
          <w:i/>
          <w:w w:val="90"/>
          <w:lang w:val="en-US"/>
        </w:rPr>
        <w:t>Status of HIV in America</w:t>
      </w:r>
      <w:r w:rsidRPr="008270BA">
        <w:rPr>
          <w:w w:val="90"/>
          <w:lang w:val="en-US"/>
        </w:rPr>
        <w:t>. Atlanta, GA; 2019. https://</w:t>
      </w:r>
      <w:hyperlink r:id="rId20">
        <w:r w:rsidRPr="008270BA">
          <w:rPr>
            <w:w w:val="90"/>
            <w:lang w:val="en-US"/>
          </w:rPr>
          <w:t xml:space="preserve">www.hiv.gov/federal-response/ending-the- </w:t>
        </w:r>
      </w:hyperlink>
      <w:proofErr w:type="spellStart"/>
      <w:r w:rsidRPr="008270BA">
        <w:rPr>
          <w:w w:val="90"/>
          <w:lang w:val="en-US"/>
        </w:rPr>
        <w:t>hiv</w:t>
      </w:r>
      <w:proofErr w:type="spellEnd"/>
      <w:r w:rsidRPr="008270BA">
        <w:rPr>
          <w:w w:val="90"/>
          <w:lang w:val="en-US"/>
        </w:rPr>
        <w:t xml:space="preserve">- epidemic/hiv-in-america#_ftnref1. </w:t>
      </w:r>
      <w:r w:rsidRPr="008270BA">
        <w:rPr>
          <w:w w:val="90"/>
        </w:rPr>
        <w:t>Consultado 31 de diciembre de 2019.</w:t>
      </w:r>
    </w:p>
    <w:p w14:paraId="11966283" w14:textId="77777777" w:rsidR="00A36BA5" w:rsidRPr="008270BA" w:rsidRDefault="008270BA">
      <w:pPr>
        <w:pStyle w:val="ListParagraph"/>
        <w:numPr>
          <w:ilvl w:val="0"/>
          <w:numId w:val="2"/>
        </w:numPr>
        <w:tabs>
          <w:tab w:val="left" w:pos="609"/>
        </w:tabs>
        <w:spacing w:line="231" w:lineRule="exact"/>
        <w:ind w:left="608"/>
        <w:rPr>
          <w:w w:val="90"/>
        </w:rPr>
      </w:pPr>
      <w:r w:rsidRPr="008270BA">
        <w:rPr>
          <w:w w:val="90"/>
        </w:rPr>
        <w:t xml:space="preserve">Departamento de Salud Pública de Filadelfia. </w:t>
      </w:r>
      <w:r w:rsidRPr="008270BA">
        <w:rPr>
          <w:i/>
          <w:w w:val="90"/>
          <w:lang w:val="en-US"/>
        </w:rPr>
        <w:t>HIV in Philadelphia: Surveillance Report</w:t>
      </w:r>
      <w:r w:rsidRPr="008270BA">
        <w:rPr>
          <w:w w:val="90"/>
          <w:lang w:val="en-US"/>
        </w:rPr>
        <w:t xml:space="preserve">. </w:t>
      </w:r>
      <w:r w:rsidRPr="008270BA">
        <w:rPr>
          <w:w w:val="90"/>
        </w:rPr>
        <w:t>Filadelfia;</w:t>
      </w:r>
    </w:p>
    <w:p w14:paraId="514DEBD8" w14:textId="77777777" w:rsidR="00A36BA5" w:rsidRPr="008270BA" w:rsidRDefault="008270BA">
      <w:pPr>
        <w:spacing w:before="27"/>
        <w:ind w:left="1021"/>
        <w:rPr>
          <w:w w:val="90"/>
        </w:rPr>
      </w:pPr>
      <w:r w:rsidRPr="008270BA">
        <w:rPr>
          <w:w w:val="90"/>
        </w:rPr>
        <w:t>2018. https://</w:t>
      </w:r>
      <w:hyperlink r:id="rId21">
        <w:r w:rsidRPr="008270BA">
          <w:rPr>
            <w:w w:val="90"/>
          </w:rPr>
          <w:t>www.phila.gov/media/20191101092716/HIV_10_30_2019_FINAL_web.pdf.</w:t>
        </w:r>
      </w:hyperlink>
    </w:p>
    <w:p w14:paraId="355D9669" w14:textId="77777777" w:rsidR="00A36BA5" w:rsidRPr="008270BA" w:rsidRDefault="008270BA">
      <w:pPr>
        <w:pStyle w:val="ListParagraph"/>
        <w:numPr>
          <w:ilvl w:val="0"/>
          <w:numId w:val="2"/>
        </w:numPr>
        <w:tabs>
          <w:tab w:val="left" w:pos="609"/>
        </w:tabs>
        <w:spacing w:before="7" w:line="266" w:lineRule="auto"/>
        <w:ind w:right="1029" w:hanging="641"/>
        <w:rPr>
          <w:w w:val="90"/>
          <w:lang w:val="en-US"/>
        </w:rPr>
      </w:pPr>
      <w:r w:rsidRPr="008270BA">
        <w:rPr>
          <w:i/>
          <w:w w:val="90"/>
          <w:lang w:val="en-US"/>
        </w:rPr>
        <w:t>HIV and Transgender Communities Strengthening Prevention and Care for a Priority Population</w:t>
      </w:r>
      <w:r w:rsidRPr="008270BA">
        <w:rPr>
          <w:w w:val="90"/>
          <w:lang w:val="en-US"/>
        </w:rPr>
        <w:t>.; 2016. https://</w:t>
      </w:r>
      <w:hyperlink r:id="rId22">
        <w:r w:rsidRPr="008270BA">
          <w:rPr>
            <w:w w:val="90"/>
            <w:lang w:val="en-US"/>
          </w:rPr>
          <w:t>www.cdc.gov/hiv/pdf/policies/cdc-hiv-transgender-brief.pdf.</w:t>
        </w:r>
      </w:hyperlink>
    </w:p>
    <w:p w14:paraId="626004EC" w14:textId="77777777" w:rsidR="00A36BA5" w:rsidRPr="008270BA" w:rsidRDefault="008270BA">
      <w:pPr>
        <w:pStyle w:val="ListParagraph"/>
        <w:numPr>
          <w:ilvl w:val="0"/>
          <w:numId w:val="2"/>
        </w:numPr>
        <w:tabs>
          <w:tab w:val="left" w:pos="608"/>
        </w:tabs>
        <w:spacing w:line="245" w:lineRule="exact"/>
        <w:ind w:left="607" w:hanging="230"/>
        <w:rPr>
          <w:w w:val="90"/>
        </w:rPr>
      </w:pPr>
      <w:r w:rsidRPr="008270BA">
        <w:rPr>
          <w:w w:val="90"/>
        </w:rPr>
        <w:t>Departamento de Salud Pública de Filadelfia. Datos locales no publicados. Filadelfia, PA.   2018.</w:t>
      </w:r>
    </w:p>
    <w:p w14:paraId="18A9B637" w14:textId="77777777" w:rsidR="00A36BA5" w:rsidRPr="008270BA" w:rsidRDefault="008270BA">
      <w:pPr>
        <w:pStyle w:val="ListParagraph"/>
        <w:numPr>
          <w:ilvl w:val="0"/>
          <w:numId w:val="2"/>
        </w:numPr>
        <w:tabs>
          <w:tab w:val="left" w:pos="609"/>
        </w:tabs>
        <w:spacing w:line="256" w:lineRule="auto"/>
        <w:ind w:right="1301" w:hanging="641"/>
        <w:rPr>
          <w:w w:val="90"/>
        </w:rPr>
      </w:pPr>
      <w:r w:rsidRPr="008270BA">
        <w:rPr>
          <w:w w:val="90"/>
          <w:lang w:val="en-US"/>
        </w:rPr>
        <w:t xml:space="preserve">Smith DK, Van Handel M, Grey J. Estimates of Adults With Indications For HIV Pre-Exposure Prophylaxis By Jurisdiction, Transmission Risk Group, and Race/Ethnicity. </w:t>
      </w:r>
      <w:r w:rsidRPr="008270BA">
        <w:rPr>
          <w:i/>
          <w:w w:val="90"/>
        </w:rPr>
        <w:t xml:space="preserve">Ann </w:t>
      </w:r>
      <w:proofErr w:type="spellStart"/>
      <w:r w:rsidRPr="008270BA">
        <w:rPr>
          <w:i/>
          <w:w w:val="90"/>
        </w:rPr>
        <w:t>Epidemiol</w:t>
      </w:r>
      <w:proofErr w:type="spellEnd"/>
      <w:r w:rsidRPr="008270BA">
        <w:rPr>
          <w:w w:val="90"/>
        </w:rPr>
        <w:t>. 2018;28(12):850-857.e9. doi:10.1016/j.annepidem.2018.05.003</w:t>
      </w:r>
    </w:p>
    <w:p w14:paraId="41C025B6" w14:textId="77777777" w:rsidR="00A36BA5" w:rsidRPr="008270BA" w:rsidRDefault="008270BA">
      <w:pPr>
        <w:pStyle w:val="ListParagraph"/>
        <w:numPr>
          <w:ilvl w:val="0"/>
          <w:numId w:val="2"/>
        </w:numPr>
        <w:tabs>
          <w:tab w:val="left" w:pos="609"/>
        </w:tabs>
        <w:spacing w:before="1" w:line="247" w:lineRule="auto"/>
        <w:ind w:right="1281" w:hanging="641"/>
        <w:rPr>
          <w:w w:val="90"/>
          <w:lang w:val="en-US"/>
        </w:rPr>
      </w:pPr>
      <w:r w:rsidRPr="008270BA">
        <w:rPr>
          <w:w w:val="90"/>
          <w:lang w:val="en-US"/>
        </w:rPr>
        <w:t xml:space="preserve">Galvin SR, Cohen MS. The Role of Sexually Transmitted Diseases in HIV Transmission. </w:t>
      </w:r>
      <w:r w:rsidRPr="008270BA">
        <w:rPr>
          <w:i/>
          <w:w w:val="90"/>
          <w:lang w:val="en-US"/>
        </w:rPr>
        <w:t>Nat Rev Microbiol</w:t>
      </w:r>
      <w:r w:rsidRPr="008270BA">
        <w:rPr>
          <w:w w:val="90"/>
          <w:lang w:val="en-US"/>
        </w:rPr>
        <w:t>. 2004;2(1):33-42. doi:10.1038/nrmicro794</w:t>
      </w:r>
    </w:p>
    <w:p w14:paraId="037386C5" w14:textId="77777777" w:rsidR="00A36BA5" w:rsidRPr="008270BA" w:rsidRDefault="008270BA">
      <w:pPr>
        <w:pStyle w:val="ListParagraph"/>
        <w:numPr>
          <w:ilvl w:val="0"/>
          <w:numId w:val="2"/>
        </w:numPr>
        <w:tabs>
          <w:tab w:val="left" w:pos="609"/>
        </w:tabs>
        <w:spacing w:before="19" w:line="252" w:lineRule="auto"/>
        <w:ind w:right="520" w:hanging="641"/>
        <w:rPr>
          <w:w w:val="90"/>
        </w:rPr>
      </w:pPr>
      <w:r w:rsidRPr="008270BA">
        <w:rPr>
          <w:w w:val="90"/>
        </w:rPr>
        <w:t xml:space="preserve">Departamento de Salud Pública de Filadelfia. </w:t>
      </w:r>
      <w:r w:rsidRPr="008270BA">
        <w:rPr>
          <w:i/>
          <w:w w:val="90"/>
          <w:lang w:val="en-US"/>
        </w:rPr>
        <w:t>Reported Cases of Sexually Transmitted Diseases and Rates per 100,000 Population: Philadelphia, 1990-2018</w:t>
      </w:r>
      <w:r w:rsidRPr="008270BA">
        <w:rPr>
          <w:w w:val="90"/>
          <w:lang w:val="en-US"/>
        </w:rPr>
        <w:t xml:space="preserve">. </w:t>
      </w:r>
      <w:r w:rsidRPr="008270BA">
        <w:rPr>
          <w:w w:val="90"/>
        </w:rPr>
        <w:t>Filadelfia, PA; 2018. https://hip.phila.gov/Portals/_default/HIP/DataReports/GeneralSTDs/2018/STD_ReportedCasesS TDs_1990_2018.pdf. Consultado 31 de diciembre de 2019.</w:t>
      </w:r>
    </w:p>
    <w:p w14:paraId="0205EA45" w14:textId="77777777" w:rsidR="00A36BA5" w:rsidRPr="008270BA" w:rsidRDefault="008270BA">
      <w:pPr>
        <w:pStyle w:val="ListParagraph"/>
        <w:numPr>
          <w:ilvl w:val="0"/>
          <w:numId w:val="2"/>
        </w:numPr>
        <w:tabs>
          <w:tab w:val="left" w:pos="609"/>
        </w:tabs>
        <w:spacing w:line="256" w:lineRule="auto"/>
        <w:ind w:right="832" w:hanging="641"/>
        <w:rPr>
          <w:w w:val="90"/>
          <w:lang w:val="en-US"/>
        </w:rPr>
      </w:pPr>
      <w:r w:rsidRPr="008270BA">
        <w:rPr>
          <w:w w:val="90"/>
          <w:lang w:val="en-US"/>
        </w:rPr>
        <w:t xml:space="preserve">Brief DJ, Bollinger AR, </w:t>
      </w:r>
      <w:proofErr w:type="spellStart"/>
      <w:r w:rsidRPr="008270BA">
        <w:rPr>
          <w:w w:val="90"/>
          <w:lang w:val="en-US"/>
        </w:rPr>
        <w:t>Vielhauer</w:t>
      </w:r>
      <w:proofErr w:type="spellEnd"/>
      <w:r w:rsidRPr="008270BA">
        <w:rPr>
          <w:w w:val="90"/>
          <w:lang w:val="en-US"/>
        </w:rPr>
        <w:t xml:space="preserve"> MJ, et al. Understanding The Interface of HIV, Trauma, Post- Traumatic Stress Disorder, And Substance Use and Its Implications for Health Outcomes. </w:t>
      </w:r>
      <w:r w:rsidRPr="008270BA">
        <w:rPr>
          <w:i/>
          <w:w w:val="90"/>
          <w:lang w:val="en-US"/>
        </w:rPr>
        <w:t>AIDS Care</w:t>
      </w:r>
      <w:r w:rsidRPr="008270BA">
        <w:rPr>
          <w:w w:val="90"/>
          <w:lang w:val="en-US"/>
        </w:rPr>
        <w:t>. 2004;16(sup1):97-120. doi:10.1080/09540120412301315259</w:t>
      </w:r>
    </w:p>
    <w:p w14:paraId="37F8FD1C" w14:textId="77777777" w:rsidR="00A36BA5" w:rsidRPr="008270BA" w:rsidRDefault="008270BA">
      <w:pPr>
        <w:pStyle w:val="ListParagraph"/>
        <w:numPr>
          <w:ilvl w:val="0"/>
          <w:numId w:val="2"/>
        </w:numPr>
        <w:tabs>
          <w:tab w:val="left" w:pos="609"/>
        </w:tabs>
        <w:spacing w:before="6" w:line="252" w:lineRule="auto"/>
        <w:ind w:right="570" w:hanging="641"/>
        <w:rPr>
          <w:w w:val="90"/>
        </w:rPr>
      </w:pPr>
      <w:r w:rsidRPr="008270BA">
        <w:rPr>
          <w:w w:val="90"/>
        </w:rPr>
        <w:t xml:space="preserve">Oficina de Censos de los Estados Unidos American </w:t>
      </w:r>
      <w:proofErr w:type="spellStart"/>
      <w:r w:rsidRPr="008270BA">
        <w:rPr>
          <w:w w:val="90"/>
        </w:rPr>
        <w:t>Community</w:t>
      </w:r>
      <w:proofErr w:type="spellEnd"/>
      <w:r w:rsidRPr="008270BA">
        <w:rPr>
          <w:w w:val="90"/>
        </w:rPr>
        <w:t xml:space="preserve"> </w:t>
      </w:r>
      <w:proofErr w:type="spellStart"/>
      <w:r w:rsidRPr="008270BA">
        <w:rPr>
          <w:w w:val="90"/>
        </w:rPr>
        <w:t>Survey</w:t>
      </w:r>
      <w:proofErr w:type="spellEnd"/>
      <w:r w:rsidRPr="008270BA">
        <w:rPr>
          <w:w w:val="90"/>
        </w:rPr>
        <w:t xml:space="preserve">: </w:t>
      </w:r>
      <w:proofErr w:type="spellStart"/>
      <w:r w:rsidRPr="008270BA">
        <w:rPr>
          <w:w w:val="90"/>
        </w:rPr>
        <w:t>Philadelphia</w:t>
      </w:r>
      <w:proofErr w:type="spellEnd"/>
      <w:r w:rsidRPr="008270BA">
        <w:rPr>
          <w:w w:val="90"/>
        </w:rPr>
        <w:t xml:space="preserve">. Oficina de Censos de los Estados Unidos. https://data.census.gov/cedsci/table?q=Philadelphia&amp;g=0500000US42101&amp;hidePreview=false&amp;t able=DP05&amp;tid=ACSDP1Y2018.DP05&amp;vintage=2018&amp;cid=DP05_0001E&amp;layer=county&amp;lastDisplay </w:t>
      </w:r>
      <w:proofErr w:type="spellStart"/>
      <w:r w:rsidRPr="008270BA">
        <w:rPr>
          <w:w w:val="90"/>
        </w:rPr>
        <w:t>edRow</w:t>
      </w:r>
      <w:proofErr w:type="spellEnd"/>
      <w:r w:rsidRPr="008270BA">
        <w:rPr>
          <w:w w:val="90"/>
        </w:rPr>
        <w:t>=17. Publicado en 2018 Consultado 31 de diciembre de 2019.</w:t>
      </w:r>
    </w:p>
    <w:p w14:paraId="6612DCCF" w14:textId="77777777" w:rsidR="00A36BA5" w:rsidRPr="008270BA" w:rsidRDefault="008270BA">
      <w:pPr>
        <w:pStyle w:val="ListParagraph"/>
        <w:numPr>
          <w:ilvl w:val="0"/>
          <w:numId w:val="2"/>
        </w:numPr>
        <w:tabs>
          <w:tab w:val="left" w:pos="720"/>
        </w:tabs>
        <w:spacing w:line="256" w:lineRule="auto"/>
        <w:ind w:right="853" w:hanging="641"/>
        <w:rPr>
          <w:w w:val="90"/>
        </w:rPr>
      </w:pPr>
      <w:r w:rsidRPr="008270BA">
        <w:rPr>
          <w:w w:val="90"/>
          <w:lang w:val="en-US"/>
        </w:rPr>
        <w:t xml:space="preserve">Pew Charitable Trust Philadelphia. </w:t>
      </w:r>
      <w:r w:rsidRPr="008270BA">
        <w:rPr>
          <w:i/>
          <w:w w:val="90"/>
          <w:lang w:val="en-US"/>
        </w:rPr>
        <w:t>The State of the City</w:t>
      </w:r>
      <w:r w:rsidRPr="008270BA">
        <w:rPr>
          <w:w w:val="90"/>
          <w:lang w:val="en-US"/>
        </w:rPr>
        <w:t xml:space="preserve">. </w:t>
      </w:r>
      <w:r w:rsidRPr="008270BA">
        <w:rPr>
          <w:w w:val="90"/>
        </w:rPr>
        <w:t>Filadelfia, PA; 2019. https://</w:t>
      </w:r>
      <w:hyperlink r:id="rId23">
        <w:r w:rsidRPr="008270BA">
          <w:rPr>
            <w:w w:val="90"/>
          </w:rPr>
          <w:t xml:space="preserve">www.pewtrusts.org/-/media/assets/2019/10/sotc_2019.pdf. </w:t>
        </w:r>
      </w:hyperlink>
      <w:r w:rsidRPr="008270BA">
        <w:rPr>
          <w:w w:val="90"/>
        </w:rPr>
        <w:t>Consultado 31 de diciembre de 2019.</w:t>
      </w:r>
    </w:p>
    <w:p w14:paraId="7CADE689" w14:textId="77777777" w:rsidR="00A36BA5" w:rsidRPr="008270BA" w:rsidRDefault="008270BA">
      <w:pPr>
        <w:pStyle w:val="ListParagraph"/>
        <w:numPr>
          <w:ilvl w:val="0"/>
          <w:numId w:val="2"/>
        </w:numPr>
        <w:tabs>
          <w:tab w:val="left" w:pos="720"/>
        </w:tabs>
        <w:spacing w:before="5" w:line="247" w:lineRule="auto"/>
        <w:ind w:right="1029" w:hanging="641"/>
        <w:rPr>
          <w:w w:val="90"/>
        </w:rPr>
      </w:pPr>
      <w:r w:rsidRPr="008270BA">
        <w:rPr>
          <w:w w:val="90"/>
          <w:lang w:val="en-US"/>
        </w:rPr>
        <w:t xml:space="preserve">Williams DR, Mohammed SA. Racism and health I: Pathways and scientific evidence. </w:t>
      </w:r>
      <w:r w:rsidRPr="008270BA">
        <w:rPr>
          <w:i/>
          <w:w w:val="90"/>
        </w:rPr>
        <w:t xml:space="preserve">Am </w:t>
      </w:r>
      <w:proofErr w:type="spellStart"/>
      <w:r w:rsidRPr="008270BA">
        <w:rPr>
          <w:i/>
          <w:w w:val="90"/>
        </w:rPr>
        <w:t>Behav</w:t>
      </w:r>
      <w:proofErr w:type="spellEnd"/>
      <w:r w:rsidRPr="008270BA">
        <w:rPr>
          <w:i/>
          <w:w w:val="90"/>
        </w:rPr>
        <w:t xml:space="preserve"> </w:t>
      </w:r>
      <w:proofErr w:type="spellStart"/>
      <w:r w:rsidRPr="008270BA">
        <w:rPr>
          <w:i/>
          <w:w w:val="90"/>
        </w:rPr>
        <w:t>Sci</w:t>
      </w:r>
      <w:proofErr w:type="spellEnd"/>
      <w:r w:rsidRPr="008270BA">
        <w:rPr>
          <w:w w:val="90"/>
        </w:rPr>
        <w:t>. 2013;57(8):1152-1173. doi:10.1177/0002764213487340</w:t>
      </w:r>
    </w:p>
    <w:p w14:paraId="367200D8" w14:textId="77777777" w:rsidR="00A36BA5" w:rsidRPr="008270BA" w:rsidRDefault="008270BA">
      <w:pPr>
        <w:pStyle w:val="ListParagraph"/>
        <w:numPr>
          <w:ilvl w:val="0"/>
          <w:numId w:val="2"/>
        </w:numPr>
        <w:tabs>
          <w:tab w:val="left" w:pos="720"/>
        </w:tabs>
        <w:spacing w:line="256" w:lineRule="auto"/>
        <w:ind w:right="749" w:hanging="641"/>
        <w:rPr>
          <w:w w:val="90"/>
        </w:rPr>
      </w:pPr>
      <w:r w:rsidRPr="008270BA">
        <w:rPr>
          <w:w w:val="90"/>
        </w:rPr>
        <w:t xml:space="preserve">Oficina de Servicios para Personas sin Hogar. </w:t>
      </w:r>
      <w:r w:rsidRPr="008270BA">
        <w:rPr>
          <w:i/>
          <w:w w:val="90"/>
          <w:lang w:val="en-US"/>
        </w:rPr>
        <w:t>Philadelphia Annual Point-in-Time Count</w:t>
      </w:r>
      <w:r w:rsidRPr="008270BA">
        <w:rPr>
          <w:w w:val="90"/>
          <w:lang w:val="en-US"/>
        </w:rPr>
        <w:t xml:space="preserve">. </w:t>
      </w:r>
      <w:r w:rsidRPr="008270BA">
        <w:rPr>
          <w:w w:val="90"/>
        </w:rPr>
        <w:t>Filadelfia, PA ; 2019.</w:t>
      </w:r>
      <w:r w:rsidRPr="008270BA">
        <w:rPr>
          <w:color w:val="0000FF"/>
          <w:w w:val="90"/>
        </w:rPr>
        <w:t xml:space="preserve"> </w:t>
      </w:r>
      <w:hyperlink r:id="rId24">
        <w:r w:rsidRPr="008270BA">
          <w:rPr>
            <w:color w:val="0000FF"/>
            <w:w w:val="90"/>
            <w:u w:val="single" w:color="0000FF"/>
          </w:rPr>
          <w:t>.http://philadelphiaofficeofhomelessservices.org/know-homelessness/point-in-time-count/</w:t>
        </w:r>
      </w:hyperlink>
      <w:r w:rsidRPr="008270BA">
        <w:rPr>
          <w:w w:val="90"/>
        </w:rPr>
        <w:t xml:space="preserve"> Consultado 1 de diciembre de 2020.</w:t>
      </w:r>
    </w:p>
    <w:p w14:paraId="4E9727AC" w14:textId="77777777" w:rsidR="00A36BA5" w:rsidRPr="008270BA" w:rsidRDefault="008270BA">
      <w:pPr>
        <w:pStyle w:val="ListParagraph"/>
        <w:numPr>
          <w:ilvl w:val="0"/>
          <w:numId w:val="2"/>
        </w:numPr>
        <w:tabs>
          <w:tab w:val="left" w:pos="720"/>
        </w:tabs>
        <w:spacing w:before="7" w:line="252" w:lineRule="auto"/>
        <w:ind w:right="602" w:hanging="641"/>
        <w:rPr>
          <w:w w:val="90"/>
          <w:lang w:val="en-US"/>
        </w:rPr>
      </w:pPr>
      <w:r w:rsidRPr="008270BA">
        <w:rPr>
          <w:w w:val="90"/>
          <w:lang w:val="en-US"/>
        </w:rPr>
        <w:t xml:space="preserve">National Academies of Sciences, Engineering and M. </w:t>
      </w:r>
      <w:r w:rsidRPr="008270BA">
        <w:rPr>
          <w:i/>
          <w:w w:val="90"/>
          <w:lang w:val="en-US"/>
        </w:rPr>
        <w:t xml:space="preserve">Permanent Supportive Housing: Evaluating the Evidence for Improving Health Outcomes Among People Experiencing Chronic Homelessness. </w:t>
      </w:r>
      <w:r w:rsidRPr="008270BA">
        <w:rPr>
          <w:w w:val="90"/>
          <w:lang w:val="en-US"/>
        </w:rPr>
        <w:t>Washington, D.C.: National Academies Press; 2018. https://</w:t>
      </w:r>
      <w:hyperlink r:id="rId25">
        <w:r w:rsidRPr="008270BA">
          <w:rPr>
            <w:w w:val="90"/>
            <w:lang w:val="en-US"/>
          </w:rPr>
          <w:t>www.ncbi.nlm.nih.gov/books/NBK519591/.</w:t>
        </w:r>
      </w:hyperlink>
    </w:p>
    <w:p w14:paraId="17D9DD16" w14:textId="77777777" w:rsidR="00A36BA5" w:rsidRPr="008270BA" w:rsidRDefault="008270BA">
      <w:pPr>
        <w:pStyle w:val="ListParagraph"/>
        <w:numPr>
          <w:ilvl w:val="0"/>
          <w:numId w:val="2"/>
        </w:numPr>
        <w:tabs>
          <w:tab w:val="left" w:pos="720"/>
        </w:tabs>
        <w:spacing w:line="256" w:lineRule="auto"/>
        <w:ind w:right="798" w:hanging="641"/>
        <w:rPr>
          <w:w w:val="90"/>
          <w:lang w:val="en-US"/>
        </w:rPr>
      </w:pPr>
      <w:proofErr w:type="spellStart"/>
      <w:r w:rsidRPr="00901650">
        <w:rPr>
          <w:w w:val="90"/>
          <w:lang w:val="fr-FR"/>
        </w:rPr>
        <w:t>Remien</w:t>
      </w:r>
      <w:proofErr w:type="spellEnd"/>
      <w:r w:rsidRPr="00901650">
        <w:rPr>
          <w:w w:val="90"/>
          <w:lang w:val="fr-FR"/>
        </w:rPr>
        <w:t xml:space="preserve"> RH, </w:t>
      </w:r>
      <w:proofErr w:type="spellStart"/>
      <w:r w:rsidRPr="00901650">
        <w:rPr>
          <w:w w:val="90"/>
          <w:lang w:val="fr-FR"/>
        </w:rPr>
        <w:t>Stirratt</w:t>
      </w:r>
      <w:proofErr w:type="spellEnd"/>
      <w:r w:rsidRPr="00901650">
        <w:rPr>
          <w:w w:val="90"/>
          <w:lang w:val="fr-FR"/>
        </w:rPr>
        <w:t xml:space="preserve"> MJ, Nguyen N, Robbins RN, Pala AN, </w:t>
      </w:r>
      <w:proofErr w:type="spellStart"/>
      <w:r w:rsidRPr="00901650">
        <w:rPr>
          <w:w w:val="90"/>
          <w:lang w:val="fr-FR"/>
        </w:rPr>
        <w:t>Mellins</w:t>
      </w:r>
      <w:proofErr w:type="spellEnd"/>
      <w:r w:rsidRPr="00901650">
        <w:rPr>
          <w:w w:val="90"/>
          <w:lang w:val="fr-FR"/>
        </w:rPr>
        <w:t xml:space="preserve"> CA. </w:t>
      </w:r>
      <w:r w:rsidRPr="008270BA">
        <w:rPr>
          <w:w w:val="90"/>
          <w:lang w:val="en-US"/>
        </w:rPr>
        <w:t xml:space="preserve">Mental health and HIV/AIDS: The Need For An Integrated Response. </w:t>
      </w:r>
      <w:r w:rsidRPr="008270BA">
        <w:rPr>
          <w:i/>
          <w:w w:val="90"/>
          <w:lang w:val="en-US"/>
        </w:rPr>
        <w:t>Aids</w:t>
      </w:r>
      <w:r w:rsidRPr="008270BA">
        <w:rPr>
          <w:w w:val="90"/>
          <w:lang w:val="en-US"/>
        </w:rPr>
        <w:t>. 2019;33(9):1411-1420. doi:10.1097/QAD.0000000000002227</w:t>
      </w:r>
    </w:p>
    <w:p w14:paraId="1C03422D" w14:textId="77777777" w:rsidR="00A36BA5" w:rsidRPr="008270BA" w:rsidRDefault="008270BA">
      <w:pPr>
        <w:pStyle w:val="ListParagraph"/>
        <w:numPr>
          <w:ilvl w:val="0"/>
          <w:numId w:val="2"/>
        </w:numPr>
        <w:tabs>
          <w:tab w:val="left" w:pos="720"/>
        </w:tabs>
        <w:spacing w:before="5" w:line="247" w:lineRule="auto"/>
        <w:ind w:right="894" w:hanging="641"/>
        <w:rPr>
          <w:w w:val="90"/>
        </w:rPr>
      </w:pPr>
      <w:proofErr w:type="spellStart"/>
      <w:r w:rsidRPr="008270BA">
        <w:rPr>
          <w:w w:val="90"/>
          <w:lang w:val="en-US"/>
        </w:rPr>
        <w:t>Mashas</w:t>
      </w:r>
      <w:proofErr w:type="spellEnd"/>
      <w:r w:rsidRPr="008270BA">
        <w:rPr>
          <w:w w:val="90"/>
          <w:lang w:val="en-US"/>
        </w:rPr>
        <w:t xml:space="preserve"> A, Miller M, Williams L, Brady KA. Care Continuum Outcomes of PLWH with Mental Illness and Depression Symptoms. </w:t>
      </w:r>
      <w:r w:rsidRPr="008270BA">
        <w:rPr>
          <w:w w:val="90"/>
        </w:rPr>
        <w:t xml:space="preserve">En: </w:t>
      </w:r>
      <w:proofErr w:type="spellStart"/>
      <w:r w:rsidRPr="008270BA">
        <w:rPr>
          <w:i/>
          <w:w w:val="90"/>
        </w:rPr>
        <w:t>National</w:t>
      </w:r>
      <w:proofErr w:type="spellEnd"/>
      <w:r w:rsidRPr="008270BA">
        <w:rPr>
          <w:i/>
          <w:w w:val="90"/>
        </w:rPr>
        <w:t xml:space="preserve"> HIV </w:t>
      </w:r>
      <w:proofErr w:type="spellStart"/>
      <w:r w:rsidRPr="008270BA">
        <w:rPr>
          <w:i/>
          <w:w w:val="90"/>
        </w:rPr>
        <w:t>Prevention</w:t>
      </w:r>
      <w:proofErr w:type="spellEnd"/>
      <w:r w:rsidRPr="008270BA">
        <w:rPr>
          <w:i/>
          <w:w w:val="90"/>
        </w:rPr>
        <w:t xml:space="preserve"> </w:t>
      </w:r>
      <w:proofErr w:type="spellStart"/>
      <w:r w:rsidRPr="008270BA">
        <w:rPr>
          <w:i/>
          <w:w w:val="90"/>
        </w:rPr>
        <w:t>Conference</w:t>
      </w:r>
      <w:proofErr w:type="spellEnd"/>
      <w:r w:rsidRPr="008270BA">
        <w:rPr>
          <w:w w:val="90"/>
        </w:rPr>
        <w:t>. Atlanta, GA; 2019.</w:t>
      </w:r>
    </w:p>
    <w:p w14:paraId="440E8021" w14:textId="77777777" w:rsidR="00A36BA5" w:rsidRPr="008270BA" w:rsidRDefault="008270BA">
      <w:pPr>
        <w:pStyle w:val="ListParagraph"/>
        <w:numPr>
          <w:ilvl w:val="0"/>
          <w:numId w:val="2"/>
        </w:numPr>
        <w:tabs>
          <w:tab w:val="left" w:pos="720"/>
        </w:tabs>
        <w:spacing w:before="19" w:line="247" w:lineRule="auto"/>
        <w:ind w:right="946" w:hanging="641"/>
        <w:rPr>
          <w:w w:val="90"/>
          <w:lang w:val="en-US"/>
        </w:rPr>
      </w:pPr>
      <w:r w:rsidRPr="008270BA">
        <w:rPr>
          <w:i/>
          <w:w w:val="90"/>
          <w:lang w:val="en-US"/>
        </w:rPr>
        <w:t>Philadelphia’s Jail Population</w:t>
      </w:r>
      <w:r w:rsidRPr="008270BA">
        <w:rPr>
          <w:w w:val="90"/>
          <w:lang w:val="en-US"/>
        </w:rPr>
        <w:t xml:space="preserve">. </w:t>
      </w:r>
      <w:proofErr w:type="spellStart"/>
      <w:r w:rsidRPr="008270BA">
        <w:rPr>
          <w:w w:val="90"/>
          <w:lang w:val="en-US"/>
        </w:rPr>
        <w:t>Filadelfia</w:t>
      </w:r>
      <w:proofErr w:type="spellEnd"/>
      <w:r w:rsidRPr="008270BA">
        <w:rPr>
          <w:w w:val="90"/>
          <w:lang w:val="en-US"/>
        </w:rPr>
        <w:t>, PA; 2018. https://</w:t>
      </w:r>
      <w:hyperlink r:id="rId26">
        <w:r w:rsidRPr="008270BA">
          <w:rPr>
            <w:w w:val="90"/>
            <w:lang w:val="en-US"/>
          </w:rPr>
          <w:t>www.phila.gov/media/20190130113435/December-2018-Jail-Population-Report.pdf.</w:t>
        </w:r>
      </w:hyperlink>
    </w:p>
    <w:p w14:paraId="7B564C46" w14:textId="19DAEC2A" w:rsidR="00A36BA5" w:rsidRPr="00901650" w:rsidRDefault="009D4B53" w:rsidP="003C1C84">
      <w:pPr>
        <w:pStyle w:val="ListParagraph"/>
        <w:numPr>
          <w:ilvl w:val="0"/>
          <w:numId w:val="2"/>
        </w:numPr>
        <w:tabs>
          <w:tab w:val="left" w:pos="720"/>
        </w:tabs>
        <w:spacing w:before="193" w:line="266" w:lineRule="auto"/>
        <w:ind w:right="726" w:hanging="641"/>
        <w:rPr>
          <w:w w:val="90"/>
          <w:lang w:val="en-US"/>
        </w:rPr>
      </w:pPr>
      <w:r>
        <w:rPr>
          <w:noProof/>
          <w:lang w:val="en-US"/>
        </w:rPr>
        <w:lastRenderedPageBreak/>
        <mc:AlternateContent>
          <mc:Choice Requires="wps">
            <w:drawing>
              <wp:anchor distT="45720" distB="45720" distL="114300" distR="114300" simplePos="0" relativeHeight="487631872" behindDoc="0" locked="0" layoutInCell="1" allowOverlap="1" wp14:anchorId="042F2918" wp14:editId="2A97BA83">
                <wp:simplePos x="0" y="0"/>
                <wp:positionH relativeFrom="column">
                  <wp:posOffset>6072505</wp:posOffset>
                </wp:positionH>
                <wp:positionV relativeFrom="paragraph">
                  <wp:posOffset>496570</wp:posOffset>
                </wp:positionV>
                <wp:extent cx="405765" cy="25209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36E19" w14:textId="601DD738" w:rsidR="00A3515D" w:rsidRPr="002F0576" w:rsidRDefault="00A3515D" w:rsidP="00A3515D">
                            <w:pPr>
                              <w:rPr>
                                <w:lang w:val="en-US"/>
                              </w:rPr>
                            </w:pPr>
                            <w:r>
                              <w:t>42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2F2918" id="_x0000_s1062" type="#_x0000_t202" style="position:absolute;left:0;text-align:left;margin-left:478.15pt;margin-top:39.1pt;width:31.95pt;height:19.85pt;z-index:487631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" stroked="f">
                <v:textbox style="mso-fit-shape-to-text:t">
                  <w:txbxContent>
                    <w:p w14:paraId="27336E19" w14:textId="601DD738" w:rsidR="00A3515D" w:rsidRPr="002F0576" w:rsidRDefault="00A3515D" w:rsidP="00A3515D">
                      <w:pPr>
                        <w:rPr>
                          <w:lang w:val="en-US"/>
                        </w:rPr>
                      </w:pPr>
                      <w:r>
                        <w:t>42</w:t>
                      </w:r>
                    </w:p>
                  </w:txbxContent>
                </v:textbox>
                <w10:wrap type="square"/>
              </v:shape>
            </w:pict>
          </mc:Fallback>
        </mc:AlternateContent>
      </w:r>
      <w:proofErr w:type="spellStart"/>
      <w:r w:rsidR="008270BA" w:rsidRPr="00A933EC">
        <w:rPr>
          <w:w w:val="90"/>
          <w:lang w:val="en-US"/>
        </w:rPr>
        <w:t>Westergaard</w:t>
      </w:r>
      <w:proofErr w:type="spellEnd"/>
      <w:r w:rsidR="008270BA" w:rsidRPr="00A933EC">
        <w:rPr>
          <w:w w:val="90"/>
          <w:lang w:val="en-US"/>
        </w:rPr>
        <w:t xml:space="preserve"> RP, Spaulding AC, Flanigan TP. HIV Among Persons Incarcerated In The USA: A Review of Evolving Concepts in Testing, Treatment, And Linkage To Community Care. </w:t>
      </w:r>
      <w:proofErr w:type="spellStart"/>
      <w:r w:rsidR="008270BA" w:rsidRPr="00A933EC">
        <w:rPr>
          <w:i/>
          <w:w w:val="90"/>
          <w:lang w:val="en-US"/>
        </w:rPr>
        <w:t>Curr</w:t>
      </w:r>
      <w:proofErr w:type="spellEnd"/>
      <w:r w:rsidR="008270BA" w:rsidRPr="00A933EC">
        <w:rPr>
          <w:i/>
          <w:w w:val="90"/>
          <w:lang w:val="en-US"/>
        </w:rPr>
        <w:t xml:space="preserve"> </w:t>
      </w:r>
      <w:proofErr w:type="spellStart"/>
      <w:r w:rsidR="008270BA" w:rsidRPr="00A933EC">
        <w:rPr>
          <w:i/>
          <w:w w:val="90"/>
          <w:lang w:val="en-US"/>
        </w:rPr>
        <w:t>Opin</w:t>
      </w:r>
      <w:proofErr w:type="spellEnd"/>
      <w:r w:rsidR="00A933EC" w:rsidRPr="00A933EC">
        <w:rPr>
          <w:i/>
          <w:w w:val="90"/>
          <w:lang w:val="en-US"/>
        </w:rPr>
        <w:t xml:space="preserve"> </w:t>
      </w:r>
      <w:r w:rsidR="008270BA" w:rsidRPr="00901650">
        <w:rPr>
          <w:i/>
          <w:w w:val="90"/>
          <w:lang w:val="en-US"/>
        </w:rPr>
        <w:t>Infect Dis</w:t>
      </w:r>
      <w:r w:rsidR="008270BA" w:rsidRPr="00901650">
        <w:rPr>
          <w:w w:val="90"/>
          <w:lang w:val="en-US"/>
        </w:rPr>
        <w:t>. 2013;26(1):10-16. doi:10.1097/QCO.0b013e32835c1dd0</w:t>
      </w:r>
    </w:p>
    <w:p w14:paraId="38B914EA" w14:textId="77777777" w:rsidR="00A36BA5" w:rsidRPr="008270BA" w:rsidRDefault="008270BA">
      <w:pPr>
        <w:pStyle w:val="ListParagraph"/>
        <w:numPr>
          <w:ilvl w:val="0"/>
          <w:numId w:val="2"/>
        </w:numPr>
        <w:tabs>
          <w:tab w:val="left" w:pos="720"/>
        </w:tabs>
        <w:spacing w:before="7" w:line="256" w:lineRule="auto"/>
        <w:ind w:right="1050" w:hanging="641"/>
        <w:rPr>
          <w:w w:val="90"/>
          <w:lang w:val="en-US"/>
        </w:rPr>
      </w:pPr>
      <w:r w:rsidRPr="008270BA">
        <w:rPr>
          <w:w w:val="90"/>
          <w:lang w:val="en-US"/>
        </w:rPr>
        <w:t xml:space="preserve">Li Z, Purcell DW, Sansom SL, Hayes D HH. </w:t>
      </w:r>
      <w:r w:rsidRPr="008270BA">
        <w:rPr>
          <w:i/>
          <w:w w:val="90"/>
          <w:lang w:val="en-US"/>
        </w:rPr>
        <w:t>Vital Signs: HIV Transmission Along the Continuum of Care — United States, 2016</w:t>
      </w:r>
      <w:r w:rsidRPr="008270BA">
        <w:rPr>
          <w:w w:val="90"/>
          <w:lang w:val="en-US"/>
        </w:rPr>
        <w:t>.; 2019. https://</w:t>
      </w:r>
      <w:hyperlink r:id="rId27">
        <w:r w:rsidRPr="008270BA">
          <w:rPr>
            <w:w w:val="90"/>
            <w:lang w:val="en-US"/>
          </w:rPr>
          <w:t>www.cdc.gov/mmwr/volumes/68/wr/mm6811e1.htm?s_cid=mm6811e1_w.</w:t>
        </w:r>
      </w:hyperlink>
    </w:p>
    <w:p w14:paraId="2F6415AC" w14:textId="77777777" w:rsidR="00A36BA5" w:rsidRPr="008270BA" w:rsidRDefault="008270BA">
      <w:pPr>
        <w:pStyle w:val="ListParagraph"/>
        <w:numPr>
          <w:ilvl w:val="0"/>
          <w:numId w:val="2"/>
        </w:numPr>
        <w:tabs>
          <w:tab w:val="left" w:pos="720"/>
        </w:tabs>
        <w:spacing w:line="266" w:lineRule="auto"/>
        <w:ind w:right="811" w:hanging="641"/>
        <w:rPr>
          <w:w w:val="90"/>
          <w:lang w:val="en-US"/>
        </w:rPr>
      </w:pPr>
      <w:r w:rsidRPr="008270BA">
        <w:rPr>
          <w:w w:val="90"/>
        </w:rPr>
        <w:t xml:space="preserve">Departamento de Salud Pública de Filadelfia. </w:t>
      </w:r>
      <w:r w:rsidRPr="008270BA">
        <w:rPr>
          <w:i/>
          <w:w w:val="90"/>
          <w:lang w:val="en-US"/>
        </w:rPr>
        <w:t>National HIV Behavioral Surveillance</w:t>
      </w:r>
      <w:r w:rsidRPr="008270BA">
        <w:rPr>
          <w:w w:val="90"/>
          <w:lang w:val="en-US"/>
        </w:rPr>
        <w:t xml:space="preserve">. </w:t>
      </w:r>
      <w:proofErr w:type="spellStart"/>
      <w:r w:rsidRPr="008270BA">
        <w:rPr>
          <w:w w:val="90"/>
          <w:lang w:val="en-US"/>
        </w:rPr>
        <w:t>Filadelfia</w:t>
      </w:r>
      <w:proofErr w:type="spellEnd"/>
      <w:r w:rsidRPr="008270BA">
        <w:rPr>
          <w:w w:val="90"/>
          <w:lang w:val="en-US"/>
        </w:rPr>
        <w:t>, PA ; 2019.</w:t>
      </w:r>
    </w:p>
    <w:p w14:paraId="2DA037F5" w14:textId="77777777" w:rsidR="00A36BA5" w:rsidRPr="008270BA" w:rsidRDefault="008270BA">
      <w:pPr>
        <w:pStyle w:val="ListParagraph"/>
        <w:numPr>
          <w:ilvl w:val="0"/>
          <w:numId w:val="2"/>
        </w:numPr>
        <w:tabs>
          <w:tab w:val="left" w:pos="720"/>
        </w:tabs>
        <w:spacing w:line="231" w:lineRule="exact"/>
        <w:ind w:left="719" w:hanging="340"/>
        <w:rPr>
          <w:w w:val="90"/>
          <w:lang w:val="en-US"/>
        </w:rPr>
      </w:pPr>
      <w:r w:rsidRPr="008270BA">
        <w:rPr>
          <w:w w:val="90"/>
          <w:lang w:val="en-US"/>
        </w:rPr>
        <w:t xml:space="preserve">Ruiz MS, </w:t>
      </w:r>
      <w:proofErr w:type="spellStart"/>
      <w:r w:rsidRPr="008270BA">
        <w:rPr>
          <w:w w:val="90"/>
          <w:lang w:val="en-US"/>
        </w:rPr>
        <w:t>OʼRourke</w:t>
      </w:r>
      <w:proofErr w:type="spellEnd"/>
      <w:r w:rsidRPr="008270BA">
        <w:rPr>
          <w:w w:val="90"/>
          <w:lang w:val="en-US"/>
        </w:rPr>
        <w:t xml:space="preserve"> A, Allen ST, et al. Using Interrupted Time Series Analysis to Measure the</w:t>
      </w:r>
    </w:p>
    <w:p w14:paraId="768F8EFD" w14:textId="77777777" w:rsidR="00A36BA5" w:rsidRPr="008270BA" w:rsidRDefault="008270BA">
      <w:pPr>
        <w:spacing w:line="266" w:lineRule="auto"/>
        <w:ind w:left="1021" w:right="796"/>
        <w:rPr>
          <w:w w:val="90"/>
        </w:rPr>
      </w:pPr>
      <w:r w:rsidRPr="008270BA">
        <w:rPr>
          <w:w w:val="90"/>
          <w:lang w:val="en-US"/>
        </w:rPr>
        <w:t xml:space="preserve">Impact of Legalized Syringe Exchange on HIV Diagnoses in Baltimore and Philadelphia. </w:t>
      </w:r>
      <w:proofErr w:type="spellStart"/>
      <w:r w:rsidRPr="008270BA">
        <w:rPr>
          <w:i/>
          <w:w w:val="90"/>
        </w:rPr>
        <w:t>JAcquir</w:t>
      </w:r>
      <w:proofErr w:type="spellEnd"/>
      <w:r w:rsidRPr="008270BA">
        <w:rPr>
          <w:i/>
          <w:w w:val="90"/>
        </w:rPr>
        <w:t xml:space="preserve"> </w:t>
      </w:r>
      <w:proofErr w:type="spellStart"/>
      <w:r w:rsidRPr="008270BA">
        <w:rPr>
          <w:i/>
          <w:w w:val="90"/>
        </w:rPr>
        <w:t>Immune</w:t>
      </w:r>
      <w:proofErr w:type="spellEnd"/>
      <w:r w:rsidRPr="008270BA">
        <w:rPr>
          <w:i/>
          <w:w w:val="90"/>
        </w:rPr>
        <w:t xml:space="preserve"> </w:t>
      </w:r>
      <w:proofErr w:type="spellStart"/>
      <w:r w:rsidRPr="008270BA">
        <w:rPr>
          <w:i/>
          <w:w w:val="90"/>
        </w:rPr>
        <w:t>Defic</w:t>
      </w:r>
      <w:proofErr w:type="spellEnd"/>
      <w:r w:rsidRPr="008270BA">
        <w:rPr>
          <w:i/>
          <w:w w:val="90"/>
        </w:rPr>
        <w:t xml:space="preserve"> </w:t>
      </w:r>
      <w:proofErr w:type="spellStart"/>
      <w:r w:rsidRPr="008270BA">
        <w:rPr>
          <w:i/>
          <w:w w:val="90"/>
        </w:rPr>
        <w:t>Syndr</w:t>
      </w:r>
      <w:proofErr w:type="spellEnd"/>
      <w:r w:rsidRPr="008270BA">
        <w:rPr>
          <w:w w:val="90"/>
        </w:rPr>
        <w:t>. 2019;82:S148-S154. doi:10.1097/QAI.0000000000002176</w:t>
      </w:r>
    </w:p>
    <w:p w14:paraId="7C6D69B5" w14:textId="77777777" w:rsidR="00A36BA5" w:rsidRPr="008270BA" w:rsidRDefault="008270BA">
      <w:pPr>
        <w:pStyle w:val="ListParagraph"/>
        <w:numPr>
          <w:ilvl w:val="0"/>
          <w:numId w:val="2"/>
        </w:numPr>
        <w:tabs>
          <w:tab w:val="left" w:pos="720"/>
        </w:tabs>
        <w:spacing w:line="231" w:lineRule="exact"/>
        <w:ind w:left="719" w:hanging="340"/>
        <w:rPr>
          <w:w w:val="90"/>
        </w:rPr>
      </w:pPr>
      <w:r w:rsidRPr="008270BA">
        <w:rPr>
          <w:w w:val="90"/>
        </w:rPr>
        <w:t>Departamento de Salud Pública de Filadelfia. Tablero de control de abuso de sustancias de Filadelfia Muertes por drogas</w:t>
      </w:r>
    </w:p>
    <w:p w14:paraId="0C7D30E1" w14:textId="77777777" w:rsidR="00A36BA5" w:rsidRPr="008270BA" w:rsidRDefault="008270BA">
      <w:pPr>
        <w:spacing w:before="42" w:line="266" w:lineRule="auto"/>
        <w:ind w:left="1021" w:right="547"/>
        <w:rPr>
          <w:w w:val="90"/>
        </w:rPr>
      </w:pPr>
      <w:r w:rsidRPr="008270BA">
        <w:rPr>
          <w:w w:val="90"/>
        </w:rPr>
        <w:t xml:space="preserve">no intencionales por año </w:t>
      </w:r>
      <w:r w:rsidRPr="008270BA">
        <w:rPr>
          <w:color w:val="0000FF"/>
          <w:w w:val="90"/>
          <w:u w:val="single" w:color="0000FF"/>
        </w:rPr>
        <w:t>https://substanceusephilly.squarespace.com/unintentional-</w:t>
      </w:r>
      <w:r w:rsidRPr="008270BA">
        <w:rPr>
          <w:color w:val="0000FF"/>
          <w:w w:val="90"/>
        </w:rPr>
        <w:t xml:space="preserve"> </w:t>
      </w:r>
      <w:proofErr w:type="spellStart"/>
      <w:r w:rsidRPr="008270BA">
        <w:rPr>
          <w:color w:val="0000FF"/>
          <w:w w:val="90"/>
          <w:u w:val="single" w:color="0000FF"/>
        </w:rPr>
        <w:t>overdose-deaths</w:t>
      </w:r>
      <w:proofErr w:type="spellEnd"/>
      <w:r w:rsidRPr="008270BA">
        <w:rPr>
          <w:w w:val="90"/>
        </w:rPr>
        <w:t>.</w:t>
      </w:r>
    </w:p>
    <w:p w14:paraId="39C8DF69" w14:textId="77777777" w:rsidR="00A36BA5" w:rsidRPr="008270BA" w:rsidRDefault="008270BA">
      <w:pPr>
        <w:pStyle w:val="ListParagraph"/>
        <w:numPr>
          <w:ilvl w:val="0"/>
          <w:numId w:val="2"/>
        </w:numPr>
        <w:tabs>
          <w:tab w:val="left" w:pos="720"/>
        </w:tabs>
        <w:spacing w:before="18" w:line="276" w:lineRule="auto"/>
        <w:ind w:right="545" w:hanging="641"/>
        <w:rPr>
          <w:w w:val="90"/>
        </w:rPr>
      </w:pPr>
      <w:r w:rsidRPr="00901650">
        <w:rPr>
          <w:w w:val="90"/>
          <w:lang w:val="es-ES"/>
        </w:rPr>
        <w:t xml:space="preserve">HIV Molecular </w:t>
      </w:r>
      <w:proofErr w:type="spellStart"/>
      <w:r w:rsidRPr="00901650">
        <w:rPr>
          <w:w w:val="90"/>
          <w:lang w:val="es-ES"/>
        </w:rPr>
        <w:t>Surveillance</w:t>
      </w:r>
      <w:proofErr w:type="spellEnd"/>
      <w:r w:rsidRPr="00901650">
        <w:rPr>
          <w:w w:val="90"/>
          <w:lang w:val="es-ES"/>
        </w:rPr>
        <w:t xml:space="preserve">: </w:t>
      </w:r>
      <w:proofErr w:type="spellStart"/>
      <w:r w:rsidRPr="00901650">
        <w:rPr>
          <w:w w:val="90"/>
          <w:lang w:val="es-ES"/>
        </w:rPr>
        <w:t>Questions</w:t>
      </w:r>
      <w:proofErr w:type="spellEnd"/>
      <w:r w:rsidRPr="00901650">
        <w:rPr>
          <w:w w:val="90"/>
          <w:lang w:val="es-ES"/>
        </w:rPr>
        <w:t xml:space="preserve"> and </w:t>
      </w:r>
      <w:proofErr w:type="spellStart"/>
      <w:r w:rsidRPr="00901650">
        <w:rPr>
          <w:w w:val="90"/>
          <w:lang w:val="es-ES"/>
        </w:rPr>
        <w:t>Answers</w:t>
      </w:r>
      <w:proofErr w:type="spellEnd"/>
      <w:r w:rsidRPr="00901650">
        <w:rPr>
          <w:w w:val="90"/>
          <w:lang w:val="es-ES"/>
        </w:rPr>
        <w:t xml:space="preserve">. </w:t>
      </w:r>
      <w:r w:rsidRPr="008270BA">
        <w:rPr>
          <w:w w:val="90"/>
        </w:rPr>
        <w:t>Centros para el Control y Prevención de Enfermedades. https://</w:t>
      </w:r>
      <w:hyperlink r:id="rId28">
        <w:r w:rsidRPr="008270BA">
          <w:rPr>
            <w:w w:val="90"/>
          </w:rPr>
          <w:t>www.cdc.gov/hiv/programresources/guidance/molecular-cluster-identification/qa.html.</w:t>
        </w:r>
      </w:hyperlink>
      <w:r w:rsidRPr="008270BA">
        <w:rPr>
          <w:w w:val="90"/>
        </w:rPr>
        <w:t xml:space="preserve"> Publicado en 2019 Consultado 31 de diciembre de 2019.</w:t>
      </w:r>
    </w:p>
    <w:p w14:paraId="6A2F9768" w14:textId="1971453E" w:rsidR="00A36BA5" w:rsidRPr="008270BA" w:rsidRDefault="009D4B53">
      <w:pPr>
        <w:pStyle w:val="ListParagraph"/>
        <w:numPr>
          <w:ilvl w:val="0"/>
          <w:numId w:val="2"/>
        </w:numPr>
        <w:tabs>
          <w:tab w:val="left" w:pos="720"/>
        </w:tabs>
        <w:spacing w:before="7" w:line="271" w:lineRule="auto"/>
        <w:ind w:right="721" w:hanging="641"/>
        <w:rPr>
          <w:w w:val="90"/>
          <w:lang w:val="en-US"/>
        </w:rPr>
      </w:pPr>
      <w:r>
        <w:rPr>
          <w:noProof/>
          <w:lang w:val="en-US"/>
        </w:rPr>
        <mc:AlternateContent>
          <mc:Choice Requires="wps">
            <w:drawing>
              <wp:anchor distT="45720" distB="45720" distL="114300" distR="114300" simplePos="0" relativeHeight="487632896" behindDoc="0" locked="0" layoutInCell="1" allowOverlap="1" wp14:anchorId="042F2918" wp14:editId="40445B59">
                <wp:simplePos x="0" y="0"/>
                <wp:positionH relativeFrom="column">
                  <wp:posOffset>6072505</wp:posOffset>
                </wp:positionH>
                <wp:positionV relativeFrom="paragraph">
                  <wp:posOffset>5638800</wp:posOffset>
                </wp:positionV>
                <wp:extent cx="405765" cy="25209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74495" w14:textId="3CDEB77C" w:rsidR="00A3515D" w:rsidRPr="002F0576" w:rsidRDefault="00A3515D" w:rsidP="00A3515D">
                            <w:pPr>
                              <w:rPr>
                                <w:lang w:val="en-US"/>
                              </w:rPr>
                            </w:pPr>
                            <w:r>
                              <w:t>43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2F2918" id="_x0000_s1063" type="#_x0000_t202" style="position:absolute;left:0;text-align:left;margin-left:478.15pt;margin-top:444pt;width:31.95pt;height:19.85pt;z-index:487632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" stroked="f">
                <v:textbox style="mso-fit-shape-to-text:t">
                  <w:txbxContent>
                    <w:p w14:paraId="03874495" w14:textId="3CDEB77C" w:rsidR="00A3515D" w:rsidRPr="002F0576" w:rsidRDefault="00A3515D" w:rsidP="00A3515D">
                      <w:pPr>
                        <w:rPr>
                          <w:lang w:val="en-US"/>
                        </w:rPr>
                      </w:pPr>
                      <w:r>
                        <w:t>43</w:t>
                      </w:r>
                    </w:p>
                  </w:txbxContent>
                </v:textbox>
                <w10:wrap type="square"/>
              </v:shape>
            </w:pict>
          </mc:Fallback>
        </mc:AlternateContent>
      </w:r>
      <w:proofErr w:type="spellStart"/>
      <w:r w:rsidR="008270BA" w:rsidRPr="008270BA">
        <w:rPr>
          <w:w w:val="90"/>
          <w:lang w:val="en-US"/>
        </w:rPr>
        <w:t>Pitasi</w:t>
      </w:r>
      <w:proofErr w:type="spellEnd"/>
      <w:r w:rsidR="008270BA" w:rsidRPr="008270BA">
        <w:rPr>
          <w:w w:val="90"/>
          <w:lang w:val="en-US"/>
        </w:rPr>
        <w:t xml:space="preserve"> MA, Delaney KP, Brooks JT, </w:t>
      </w:r>
      <w:proofErr w:type="spellStart"/>
      <w:r w:rsidR="008270BA" w:rsidRPr="008270BA">
        <w:rPr>
          <w:w w:val="90"/>
          <w:lang w:val="en-US"/>
        </w:rPr>
        <w:t>DiNenno</w:t>
      </w:r>
      <w:proofErr w:type="spellEnd"/>
      <w:r w:rsidR="008270BA" w:rsidRPr="008270BA">
        <w:rPr>
          <w:w w:val="90"/>
          <w:lang w:val="en-US"/>
        </w:rPr>
        <w:t xml:space="preserve"> EA, Johnson SD, Prejean J. HIV Testing in 50 Local Jurisdictions Accounting for the Majority of New HIV Diagnoses and Seven States with Disproportionate Occurrence of HIV in Rural Areas, 2016-2017. MMWR </w:t>
      </w:r>
      <w:proofErr w:type="spellStart"/>
      <w:r w:rsidR="008270BA" w:rsidRPr="008270BA">
        <w:rPr>
          <w:w w:val="90"/>
          <w:lang w:val="en-US"/>
        </w:rPr>
        <w:t>Morb</w:t>
      </w:r>
      <w:proofErr w:type="spellEnd"/>
      <w:r w:rsidR="008270BA" w:rsidRPr="008270BA">
        <w:rPr>
          <w:w w:val="90"/>
          <w:lang w:val="en-US"/>
        </w:rPr>
        <w:t xml:space="preserve"> Mortal </w:t>
      </w:r>
      <w:proofErr w:type="spellStart"/>
      <w:r w:rsidR="008270BA" w:rsidRPr="008270BA">
        <w:rPr>
          <w:w w:val="90"/>
          <w:lang w:val="en-US"/>
        </w:rPr>
        <w:t>Wkly</w:t>
      </w:r>
      <w:proofErr w:type="spellEnd"/>
      <w:r w:rsidR="008270BA" w:rsidRPr="008270BA">
        <w:rPr>
          <w:w w:val="90"/>
          <w:lang w:val="en-US"/>
        </w:rPr>
        <w:t xml:space="preserve"> Rep 2019; 68;561-567. DOI: https://</w:t>
      </w:r>
      <w:hyperlink r:id="rId29">
        <w:r w:rsidR="008270BA" w:rsidRPr="008270BA">
          <w:rPr>
            <w:w w:val="90"/>
            <w:lang w:val="en-US"/>
          </w:rPr>
          <w:t>www.cdc.gov/mmwr/volumes/68/wr/mm6825a2.htm?s_cid=mm6825a2_w</w:t>
        </w:r>
      </w:hyperlink>
    </w:p>
    <w:sectPr w:rsidR="00A36BA5" w:rsidRPr="008270BA">
      <w:pgSz w:w="12240" w:h="15840"/>
      <w:pgMar w:top="1240" w:right="980" w:bottom="1280" w:left="1060" w:header="731"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A162" w14:textId="77777777" w:rsidR="00347E2E" w:rsidRDefault="00347E2E">
      <w:r>
        <w:separator/>
      </w:r>
    </w:p>
  </w:endnote>
  <w:endnote w:type="continuationSeparator" w:id="0">
    <w:p w14:paraId="0BC209AF" w14:textId="77777777" w:rsidR="00347E2E" w:rsidRDefault="0034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191F" w14:textId="6B8835A6" w:rsidR="008270BA" w:rsidRDefault="009D4B53">
    <w:pPr>
      <w:pStyle w:val="BodyText"/>
      <w:spacing w:line="14" w:lineRule="auto"/>
      <w:rPr>
        <w:sz w:val="14"/>
      </w:rPr>
    </w:pPr>
    <w:r>
      <w:rPr>
        <w:noProof/>
      </w:rPr>
      <mc:AlternateContent>
        <mc:Choice Requires="wps">
          <w:drawing>
            <wp:anchor distT="0" distB="0" distL="114300" distR="114300" simplePos="0" relativeHeight="486225920" behindDoc="1" locked="0" layoutInCell="1" allowOverlap="1" wp14:anchorId="561906F4" wp14:editId="0A1BE761">
              <wp:simplePos x="0" y="0"/>
              <wp:positionH relativeFrom="page">
                <wp:posOffset>3771900</wp:posOffset>
              </wp:positionH>
              <wp:positionV relativeFrom="page">
                <wp:posOffset>9252585</wp:posOffset>
              </wp:positionV>
              <wp:extent cx="217805" cy="196215"/>
              <wp:effectExtent l="0" t="0" r="0" b="0"/>
              <wp:wrapNone/>
              <wp:docPr id="6" name="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9A668" w14:textId="77777777" w:rsidR="008270BA" w:rsidRDefault="008270BA">
                          <w:pPr>
                            <w:spacing w:before="23"/>
                            <w:ind w:left="60"/>
                          </w:pPr>
                          <w:r>
                            <w:fldChar w:fldCharType="begin"/>
                          </w:r>
                          <w:r>
                            <w:instrText xml:space="preserve"> PAGE </w:instrText>
                          </w:r>
                          <w:r>
                            <w:fldChar w:fldCharType="separate"/>
                          </w:r>
                          <w:r w:rsidR="00A933EC">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906F4" id="_x0000_t202" coordsize="21600,21600" o:spt="202" path="m,l,21600r21600,l21600,xe">
              <v:stroke joinstyle="miter"/>
              <v:path gradientshapeok="t" o:connecttype="rect"/>
            </v:shapetype>
            <v:shape id="937" o:spid="_x0000_s1065" type="#_x0000_t202" style="position:absolute;margin-left:297pt;margin-top:728.55pt;width:17.15pt;height:15.45pt;z-index:-1709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" filled="f" stroked="f">
              <v:textbox inset="0,0,0,0">
                <w:txbxContent>
                  <w:p w14:paraId="0719A668" w14:textId="77777777" w:rsidR="008270BA" w:rsidRDefault="008270BA">
                    <w:pPr>
                      <w:spacing w:before="23"/>
                      <w:ind w:left="60"/>
                    </w:pPr>
                    <w:r>
                      <w:fldChar w:fldCharType="begin"/>
                    </w:r>
                    <w:r>
                      <w:instrText xml:space="preserve"> PAGE </w:instrText>
                    </w:r>
                    <w:r>
                      <w:fldChar w:fldCharType="separate"/>
                    </w:r>
                    <w:r w:rsidR="00A933EC">
                      <w:rPr>
                        <w:noProof/>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6721" w14:textId="78028EA1" w:rsidR="008270BA" w:rsidRDefault="008270B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8A25" w14:textId="2B5BA359" w:rsidR="008270BA" w:rsidRDefault="008270BA">
    <w:pPr>
      <w:pStyle w:val="BodyText"/>
      <w:spacing w:line="14"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6440" w14:textId="77777777" w:rsidR="00347E2E" w:rsidRDefault="00347E2E">
      <w:r>
        <w:separator/>
      </w:r>
    </w:p>
  </w:footnote>
  <w:footnote w:type="continuationSeparator" w:id="0">
    <w:p w14:paraId="6EF0DB2D" w14:textId="77777777" w:rsidR="00347E2E" w:rsidRDefault="00347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DBB6" w14:textId="7741BA04" w:rsidR="008270BA" w:rsidRDefault="009D4B53">
    <w:pPr>
      <w:pStyle w:val="BodyText"/>
      <w:spacing w:line="14" w:lineRule="auto"/>
      <w:rPr>
        <w:sz w:val="20"/>
      </w:rPr>
    </w:pPr>
    <w:r>
      <w:rPr>
        <w:noProof/>
      </w:rPr>
      <mc:AlternateContent>
        <mc:Choice Requires="wps">
          <w:drawing>
            <wp:anchor distT="0" distB="0" distL="114300" distR="114300" simplePos="0" relativeHeight="486225408" behindDoc="1" locked="0" layoutInCell="1" allowOverlap="1" wp14:anchorId="345904C7" wp14:editId="7DB3D6BB">
              <wp:simplePos x="0" y="0"/>
              <wp:positionH relativeFrom="page">
                <wp:posOffset>5292090</wp:posOffset>
              </wp:positionH>
              <wp:positionV relativeFrom="page">
                <wp:posOffset>318135</wp:posOffset>
              </wp:positionV>
              <wp:extent cx="1579245" cy="481965"/>
              <wp:effectExtent l="0" t="0" r="0" b="0"/>
              <wp:wrapNone/>
              <wp:docPr id="8" name="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FC64A" w14:textId="77777777" w:rsidR="008270BA" w:rsidRDefault="008270BA">
                          <w:pPr>
                            <w:spacing w:before="23" w:line="246" w:lineRule="exact"/>
                            <w:ind w:left="20"/>
                          </w:pPr>
                          <w:r>
                            <w:t>Plan comunitario de EHE</w:t>
                          </w:r>
                        </w:p>
                        <w:p w14:paraId="50E6D2E2" w14:textId="77777777" w:rsidR="008270BA" w:rsidRDefault="008270BA" w:rsidP="008270BA">
                          <w:pPr>
                            <w:spacing w:line="246" w:lineRule="exact"/>
                            <w:ind w:left="990"/>
                            <w:jc w:val="right"/>
                          </w:pPr>
                          <w:r>
                            <w:t>12-1-2020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904C7" id="_x0000_t202" coordsize="21600,21600" o:spt="202" path="m,l,21600r21600,l21600,xe">
              <v:stroke joinstyle="miter"/>
              <v:path gradientshapeok="t" o:connecttype="rect"/>
            </v:shapetype>
            <v:shape id="1129" o:spid="_x0000_s1064" type="#_x0000_t202" style="position:absolute;margin-left:416.7pt;margin-top:25.05pt;width:124.35pt;height:37.95pt;z-index:-1709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" filled="f" stroked="f">
              <v:textbox inset="0,0,0,0">
                <w:txbxContent>
                  <w:p w14:paraId="507FC64A" w14:textId="77777777" w:rsidR="008270BA" w:rsidRDefault="008270BA">
                    <w:pPr>
                      <w:spacing w:before="23" w:line="246" w:lineRule="exact"/>
                      <w:ind w:left="20"/>
                    </w:pPr>
                    <w:r>
                      <w:t>Plan comunitario de EHE</w:t>
                    </w:r>
                  </w:p>
                  <w:p w14:paraId="50E6D2E2" w14:textId="77777777" w:rsidR="008270BA" w:rsidRDefault="008270BA" w:rsidP="008270BA">
                    <w:pPr>
                      <w:spacing w:line="246" w:lineRule="exact"/>
                      <w:ind w:left="990"/>
                      <w:jc w:val="right"/>
                    </w:pPr>
                    <w:r>
                      <w:t>12-1-2020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BF75" w14:textId="2F455BCA" w:rsidR="008270BA" w:rsidRDefault="009D4B53">
    <w:pPr>
      <w:pStyle w:val="BodyText"/>
      <w:spacing w:line="14" w:lineRule="auto"/>
      <w:rPr>
        <w:sz w:val="20"/>
      </w:rPr>
    </w:pPr>
    <w:r>
      <w:rPr>
        <w:noProof/>
      </w:rPr>
      <mc:AlternateContent>
        <mc:Choice Requires="wps">
          <w:drawing>
            <wp:anchor distT="0" distB="0" distL="114300" distR="114300" simplePos="0" relativeHeight="486226432" behindDoc="1" locked="0" layoutInCell="1" allowOverlap="1" wp14:anchorId="192CB57B" wp14:editId="265BEAA4">
              <wp:simplePos x="0" y="0"/>
              <wp:positionH relativeFrom="page">
                <wp:posOffset>5654040</wp:posOffset>
              </wp:positionH>
              <wp:positionV relativeFrom="page">
                <wp:posOffset>451485</wp:posOffset>
              </wp:positionV>
              <wp:extent cx="1217295" cy="34861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7A670" w14:textId="77777777" w:rsidR="008270BA" w:rsidRDefault="008270BA">
                          <w:pPr>
                            <w:spacing w:before="23" w:line="246" w:lineRule="exact"/>
                            <w:ind w:left="20"/>
                          </w:pPr>
                          <w:r>
                            <w:t>Plan comunitario de EHE</w:t>
                          </w:r>
                        </w:p>
                        <w:p w14:paraId="7A48B721" w14:textId="77777777" w:rsidR="008270BA" w:rsidRDefault="008270BA">
                          <w:pPr>
                            <w:spacing w:line="246" w:lineRule="exact"/>
                            <w:ind w:left="990"/>
                          </w:pPr>
                          <w:r>
                            <w:t>12-1-2020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CB57B" id="_x0000_t202" coordsize="21600,21600" o:spt="202" path="m,l,21600r21600,l21600,xe">
              <v:stroke joinstyle="miter"/>
              <v:path gradientshapeok="t" o:connecttype="rect"/>
            </v:shapetype>
            <v:shape id="Text Box 3" o:spid="_x0000_s1066" type="#_x0000_t202" style="position:absolute;margin-left:445.2pt;margin-top:35.55pt;width:95.85pt;height:27.45pt;z-index:-1709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" filled="f" stroked="f">
              <v:textbox inset="0,0,0,0">
                <w:txbxContent>
                  <w:p w14:paraId="04C7A670" w14:textId="77777777" w:rsidR="008270BA" w:rsidRDefault="008270BA">
                    <w:pPr>
                      <w:spacing w:before="23" w:line="246" w:lineRule="exact"/>
                      <w:ind w:left="20"/>
                    </w:pPr>
                    <w:r>
                      <w:t>Plan comunitario de EHE</w:t>
                    </w:r>
                  </w:p>
                  <w:p w14:paraId="7A48B721" w14:textId="77777777" w:rsidR="008270BA" w:rsidRDefault="008270BA">
                    <w:pPr>
                      <w:spacing w:line="246" w:lineRule="exact"/>
                      <w:ind w:left="990"/>
                    </w:pPr>
                    <w:r>
                      <w:t>12-1-2020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B85D" w14:textId="766A9C05" w:rsidR="008270BA" w:rsidRDefault="009D4B53">
    <w:pPr>
      <w:pStyle w:val="BodyText"/>
      <w:spacing w:line="14" w:lineRule="auto"/>
      <w:rPr>
        <w:sz w:val="20"/>
      </w:rPr>
    </w:pPr>
    <w:r>
      <w:rPr>
        <w:noProof/>
      </w:rPr>
      <mc:AlternateContent>
        <mc:Choice Requires="wps">
          <w:drawing>
            <wp:anchor distT="0" distB="0" distL="114300" distR="114300" simplePos="0" relativeHeight="486226944" behindDoc="1" locked="0" layoutInCell="1" allowOverlap="1" wp14:anchorId="633AE64E" wp14:editId="61A0F1D6">
              <wp:simplePos x="0" y="0"/>
              <wp:positionH relativeFrom="page">
                <wp:posOffset>5654040</wp:posOffset>
              </wp:positionH>
              <wp:positionV relativeFrom="page">
                <wp:posOffset>451485</wp:posOffset>
              </wp:positionV>
              <wp:extent cx="1217295" cy="3486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5399F" w14:textId="77777777" w:rsidR="008270BA" w:rsidRDefault="008270BA">
                          <w:pPr>
                            <w:spacing w:before="23" w:line="246" w:lineRule="exact"/>
                            <w:ind w:left="20"/>
                          </w:pPr>
                          <w:r>
                            <w:t>Plan comunitario de EHE</w:t>
                          </w:r>
                        </w:p>
                        <w:p w14:paraId="6A706AEA" w14:textId="77777777" w:rsidR="008270BA" w:rsidRDefault="008270BA">
                          <w:pPr>
                            <w:spacing w:line="246" w:lineRule="exact"/>
                            <w:ind w:left="990"/>
                          </w:pPr>
                          <w:r>
                            <w:t>12-1-2020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AE64E" id="_x0000_t202" coordsize="21600,21600" o:spt="202" path="m,l,21600r21600,l21600,xe">
              <v:stroke joinstyle="miter"/>
              <v:path gradientshapeok="t" o:connecttype="rect"/>
            </v:shapetype>
            <v:shape id="_x0000_s1067" type="#_x0000_t202" style="position:absolute;margin-left:445.2pt;margin-top:35.55pt;width:95.85pt;height:27.45pt;z-index:-1708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" filled="f" stroked="f">
              <v:textbox inset="0,0,0,0">
                <w:txbxContent>
                  <w:p w14:paraId="53B5399F" w14:textId="77777777" w:rsidR="008270BA" w:rsidRDefault="008270BA">
                    <w:pPr>
                      <w:spacing w:before="23" w:line="246" w:lineRule="exact"/>
                      <w:ind w:left="20"/>
                    </w:pPr>
                    <w:r>
                      <w:t>Plan comunitario de EHE</w:t>
                    </w:r>
                  </w:p>
                  <w:p w14:paraId="6A706AEA" w14:textId="77777777" w:rsidR="008270BA" w:rsidRDefault="008270BA">
                    <w:pPr>
                      <w:spacing w:line="246" w:lineRule="exact"/>
                      <w:ind w:left="990"/>
                    </w:pPr>
                    <w:r>
                      <w:t>12-1-2020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41C8"/>
    <w:multiLevelType w:val="hybridMultilevel"/>
    <w:tmpl w:val="932218AA"/>
    <w:lvl w:ilvl="0" w:tplc="997A7006">
      <w:numFmt w:val="bullet"/>
      <w:lvlText w:val=""/>
      <w:lvlJc w:val="left"/>
      <w:pPr>
        <w:ind w:left="840" w:hanging="148"/>
      </w:pPr>
      <w:rPr>
        <w:rFonts w:ascii="Symbol" w:eastAsia="Symbol" w:hAnsi="Symbol" w:cs="Symbol" w:hint="default"/>
        <w:w w:val="73"/>
        <w:sz w:val="20"/>
        <w:szCs w:val="20"/>
      </w:rPr>
    </w:lvl>
    <w:lvl w:ilvl="1" w:tplc="17BA9C42">
      <w:numFmt w:val="bullet"/>
      <w:lvlText w:val="•"/>
      <w:lvlJc w:val="left"/>
      <w:pPr>
        <w:ind w:left="1776" w:hanging="148"/>
      </w:pPr>
      <w:rPr>
        <w:rFonts w:hint="default"/>
      </w:rPr>
    </w:lvl>
    <w:lvl w:ilvl="2" w:tplc="FB6E643A">
      <w:numFmt w:val="bullet"/>
      <w:lvlText w:val="•"/>
      <w:lvlJc w:val="left"/>
      <w:pPr>
        <w:ind w:left="2712" w:hanging="148"/>
      </w:pPr>
      <w:rPr>
        <w:rFonts w:hint="default"/>
      </w:rPr>
    </w:lvl>
    <w:lvl w:ilvl="3" w:tplc="6872722E">
      <w:numFmt w:val="bullet"/>
      <w:lvlText w:val="•"/>
      <w:lvlJc w:val="left"/>
      <w:pPr>
        <w:ind w:left="3648" w:hanging="148"/>
      </w:pPr>
      <w:rPr>
        <w:rFonts w:hint="default"/>
      </w:rPr>
    </w:lvl>
    <w:lvl w:ilvl="4" w:tplc="C548FCD4">
      <w:numFmt w:val="bullet"/>
      <w:lvlText w:val="•"/>
      <w:lvlJc w:val="left"/>
      <w:pPr>
        <w:ind w:left="4584" w:hanging="148"/>
      </w:pPr>
      <w:rPr>
        <w:rFonts w:hint="default"/>
      </w:rPr>
    </w:lvl>
    <w:lvl w:ilvl="5" w:tplc="FC74A06C">
      <w:numFmt w:val="bullet"/>
      <w:lvlText w:val="•"/>
      <w:lvlJc w:val="left"/>
      <w:pPr>
        <w:ind w:left="5520" w:hanging="148"/>
      </w:pPr>
      <w:rPr>
        <w:rFonts w:hint="default"/>
      </w:rPr>
    </w:lvl>
    <w:lvl w:ilvl="6" w:tplc="D96815FA">
      <w:numFmt w:val="bullet"/>
      <w:lvlText w:val="•"/>
      <w:lvlJc w:val="left"/>
      <w:pPr>
        <w:ind w:left="6456" w:hanging="148"/>
      </w:pPr>
      <w:rPr>
        <w:rFonts w:hint="default"/>
      </w:rPr>
    </w:lvl>
    <w:lvl w:ilvl="7" w:tplc="77963EB4">
      <w:numFmt w:val="bullet"/>
      <w:lvlText w:val="•"/>
      <w:lvlJc w:val="left"/>
      <w:pPr>
        <w:ind w:left="7392" w:hanging="148"/>
      </w:pPr>
      <w:rPr>
        <w:rFonts w:hint="default"/>
      </w:rPr>
    </w:lvl>
    <w:lvl w:ilvl="8" w:tplc="DCA0A01E">
      <w:numFmt w:val="bullet"/>
      <w:lvlText w:val="•"/>
      <w:lvlJc w:val="left"/>
      <w:pPr>
        <w:ind w:left="8328" w:hanging="148"/>
      </w:pPr>
      <w:rPr>
        <w:rFonts w:hint="default"/>
      </w:rPr>
    </w:lvl>
  </w:abstractNum>
  <w:abstractNum w:abstractNumId="1" w15:restartNumberingAfterBreak="0">
    <w:nsid w:val="11854681"/>
    <w:multiLevelType w:val="hybridMultilevel"/>
    <w:tmpl w:val="10AE48AC"/>
    <w:lvl w:ilvl="0" w:tplc="7BD416CC">
      <w:numFmt w:val="bullet"/>
      <w:lvlText w:val=""/>
      <w:lvlJc w:val="left"/>
      <w:pPr>
        <w:ind w:left="840" w:hanging="184"/>
      </w:pPr>
      <w:rPr>
        <w:rFonts w:hint="default"/>
        <w:w w:val="73"/>
      </w:rPr>
    </w:lvl>
    <w:lvl w:ilvl="1" w:tplc="E1504ADC">
      <w:numFmt w:val="bullet"/>
      <w:lvlText w:val="•"/>
      <w:lvlJc w:val="left"/>
      <w:pPr>
        <w:ind w:left="1776" w:hanging="184"/>
      </w:pPr>
      <w:rPr>
        <w:rFonts w:hint="default"/>
      </w:rPr>
    </w:lvl>
    <w:lvl w:ilvl="2" w:tplc="6D9A1718">
      <w:numFmt w:val="bullet"/>
      <w:lvlText w:val="•"/>
      <w:lvlJc w:val="left"/>
      <w:pPr>
        <w:ind w:left="2712" w:hanging="184"/>
      </w:pPr>
      <w:rPr>
        <w:rFonts w:hint="default"/>
      </w:rPr>
    </w:lvl>
    <w:lvl w:ilvl="3" w:tplc="3AB4904A">
      <w:numFmt w:val="bullet"/>
      <w:lvlText w:val="•"/>
      <w:lvlJc w:val="left"/>
      <w:pPr>
        <w:ind w:left="3648" w:hanging="184"/>
      </w:pPr>
      <w:rPr>
        <w:rFonts w:hint="default"/>
      </w:rPr>
    </w:lvl>
    <w:lvl w:ilvl="4" w:tplc="0D5277F2">
      <w:numFmt w:val="bullet"/>
      <w:lvlText w:val="•"/>
      <w:lvlJc w:val="left"/>
      <w:pPr>
        <w:ind w:left="4584" w:hanging="184"/>
      </w:pPr>
      <w:rPr>
        <w:rFonts w:hint="default"/>
      </w:rPr>
    </w:lvl>
    <w:lvl w:ilvl="5" w:tplc="1D2C87EC">
      <w:numFmt w:val="bullet"/>
      <w:lvlText w:val="•"/>
      <w:lvlJc w:val="left"/>
      <w:pPr>
        <w:ind w:left="5520" w:hanging="184"/>
      </w:pPr>
      <w:rPr>
        <w:rFonts w:hint="default"/>
      </w:rPr>
    </w:lvl>
    <w:lvl w:ilvl="6" w:tplc="C89EDFF8">
      <w:numFmt w:val="bullet"/>
      <w:lvlText w:val="•"/>
      <w:lvlJc w:val="left"/>
      <w:pPr>
        <w:ind w:left="6456" w:hanging="184"/>
      </w:pPr>
      <w:rPr>
        <w:rFonts w:hint="default"/>
      </w:rPr>
    </w:lvl>
    <w:lvl w:ilvl="7" w:tplc="F0521798">
      <w:numFmt w:val="bullet"/>
      <w:lvlText w:val="•"/>
      <w:lvlJc w:val="left"/>
      <w:pPr>
        <w:ind w:left="7392" w:hanging="184"/>
      </w:pPr>
      <w:rPr>
        <w:rFonts w:hint="default"/>
      </w:rPr>
    </w:lvl>
    <w:lvl w:ilvl="8" w:tplc="771274EC">
      <w:numFmt w:val="bullet"/>
      <w:lvlText w:val="•"/>
      <w:lvlJc w:val="left"/>
      <w:pPr>
        <w:ind w:left="8328" w:hanging="184"/>
      </w:pPr>
      <w:rPr>
        <w:rFonts w:hint="default"/>
      </w:rPr>
    </w:lvl>
  </w:abstractNum>
  <w:abstractNum w:abstractNumId="2" w15:restartNumberingAfterBreak="0">
    <w:nsid w:val="13E44B1C"/>
    <w:multiLevelType w:val="hybridMultilevel"/>
    <w:tmpl w:val="70420FDE"/>
    <w:lvl w:ilvl="0" w:tplc="FF6EC060">
      <w:numFmt w:val="bullet"/>
      <w:lvlText w:val=""/>
      <w:lvlJc w:val="left"/>
      <w:pPr>
        <w:ind w:left="840" w:hanging="178"/>
      </w:pPr>
      <w:rPr>
        <w:rFonts w:hint="default"/>
        <w:w w:val="73"/>
      </w:rPr>
    </w:lvl>
    <w:lvl w:ilvl="1" w:tplc="C4185D7A">
      <w:numFmt w:val="bullet"/>
      <w:lvlText w:val="•"/>
      <w:lvlJc w:val="left"/>
      <w:pPr>
        <w:ind w:left="1776" w:hanging="178"/>
      </w:pPr>
      <w:rPr>
        <w:rFonts w:hint="default"/>
      </w:rPr>
    </w:lvl>
    <w:lvl w:ilvl="2" w:tplc="A39AF164">
      <w:numFmt w:val="bullet"/>
      <w:lvlText w:val="•"/>
      <w:lvlJc w:val="left"/>
      <w:pPr>
        <w:ind w:left="2712" w:hanging="178"/>
      </w:pPr>
      <w:rPr>
        <w:rFonts w:hint="default"/>
      </w:rPr>
    </w:lvl>
    <w:lvl w:ilvl="3" w:tplc="37A288EA">
      <w:numFmt w:val="bullet"/>
      <w:lvlText w:val="•"/>
      <w:lvlJc w:val="left"/>
      <w:pPr>
        <w:ind w:left="3648" w:hanging="178"/>
      </w:pPr>
      <w:rPr>
        <w:rFonts w:hint="default"/>
      </w:rPr>
    </w:lvl>
    <w:lvl w:ilvl="4" w:tplc="1430F4A8">
      <w:numFmt w:val="bullet"/>
      <w:lvlText w:val="•"/>
      <w:lvlJc w:val="left"/>
      <w:pPr>
        <w:ind w:left="4584" w:hanging="178"/>
      </w:pPr>
      <w:rPr>
        <w:rFonts w:hint="default"/>
      </w:rPr>
    </w:lvl>
    <w:lvl w:ilvl="5" w:tplc="73BA2F82">
      <w:numFmt w:val="bullet"/>
      <w:lvlText w:val="•"/>
      <w:lvlJc w:val="left"/>
      <w:pPr>
        <w:ind w:left="5520" w:hanging="178"/>
      </w:pPr>
      <w:rPr>
        <w:rFonts w:hint="default"/>
      </w:rPr>
    </w:lvl>
    <w:lvl w:ilvl="6" w:tplc="EDC2AAA4">
      <w:numFmt w:val="bullet"/>
      <w:lvlText w:val="•"/>
      <w:lvlJc w:val="left"/>
      <w:pPr>
        <w:ind w:left="6456" w:hanging="178"/>
      </w:pPr>
      <w:rPr>
        <w:rFonts w:hint="default"/>
      </w:rPr>
    </w:lvl>
    <w:lvl w:ilvl="7" w:tplc="0992AA9C">
      <w:numFmt w:val="bullet"/>
      <w:lvlText w:val="•"/>
      <w:lvlJc w:val="left"/>
      <w:pPr>
        <w:ind w:left="7392" w:hanging="178"/>
      </w:pPr>
      <w:rPr>
        <w:rFonts w:hint="default"/>
      </w:rPr>
    </w:lvl>
    <w:lvl w:ilvl="8" w:tplc="C4DE07AE">
      <w:numFmt w:val="bullet"/>
      <w:lvlText w:val="•"/>
      <w:lvlJc w:val="left"/>
      <w:pPr>
        <w:ind w:left="8328" w:hanging="178"/>
      </w:pPr>
      <w:rPr>
        <w:rFonts w:hint="default"/>
      </w:rPr>
    </w:lvl>
  </w:abstractNum>
  <w:abstractNum w:abstractNumId="3" w15:restartNumberingAfterBreak="0">
    <w:nsid w:val="2AD274B0"/>
    <w:multiLevelType w:val="hybridMultilevel"/>
    <w:tmpl w:val="A1281302"/>
    <w:lvl w:ilvl="0" w:tplc="930CD352">
      <w:start w:val="1"/>
      <w:numFmt w:val="decimal"/>
      <w:lvlText w:val="%1."/>
      <w:lvlJc w:val="left"/>
      <w:pPr>
        <w:ind w:left="840" w:hanging="249"/>
      </w:pPr>
      <w:rPr>
        <w:rFonts w:ascii="Arial" w:eastAsia="Arial" w:hAnsi="Arial" w:cs="Arial" w:hint="default"/>
        <w:color w:val="0E101A"/>
        <w:w w:val="91"/>
        <w:sz w:val="24"/>
        <w:szCs w:val="24"/>
      </w:rPr>
    </w:lvl>
    <w:lvl w:ilvl="1" w:tplc="74009E80">
      <w:start w:val="1"/>
      <w:numFmt w:val="lowerLetter"/>
      <w:lvlText w:val="%2."/>
      <w:lvlJc w:val="left"/>
      <w:pPr>
        <w:ind w:left="958" w:hanging="220"/>
      </w:pPr>
      <w:rPr>
        <w:rFonts w:ascii="Arial" w:eastAsia="Arial" w:hAnsi="Arial" w:cs="Arial" w:hint="default"/>
        <w:color w:val="1F1F1E"/>
        <w:spacing w:val="-1"/>
        <w:w w:val="87"/>
        <w:sz w:val="22"/>
        <w:szCs w:val="22"/>
      </w:rPr>
    </w:lvl>
    <w:lvl w:ilvl="2" w:tplc="341CA486">
      <w:numFmt w:val="bullet"/>
      <w:lvlText w:val=""/>
      <w:lvlJc w:val="left"/>
      <w:pPr>
        <w:ind w:left="1621" w:hanging="162"/>
      </w:pPr>
      <w:rPr>
        <w:rFonts w:ascii="Symbol" w:eastAsia="Symbol" w:hAnsi="Symbol" w:cs="Symbol" w:hint="default"/>
        <w:color w:val="1F1F1E"/>
        <w:w w:val="72"/>
        <w:sz w:val="22"/>
        <w:szCs w:val="22"/>
      </w:rPr>
    </w:lvl>
    <w:lvl w:ilvl="3" w:tplc="13667FF0">
      <w:numFmt w:val="bullet"/>
      <w:lvlText w:val="•"/>
      <w:lvlJc w:val="left"/>
      <w:pPr>
        <w:ind w:left="2692" w:hanging="162"/>
      </w:pPr>
      <w:rPr>
        <w:rFonts w:hint="default"/>
      </w:rPr>
    </w:lvl>
    <w:lvl w:ilvl="4" w:tplc="8FEA7EEC">
      <w:numFmt w:val="bullet"/>
      <w:lvlText w:val="•"/>
      <w:lvlJc w:val="left"/>
      <w:pPr>
        <w:ind w:left="3765" w:hanging="162"/>
      </w:pPr>
      <w:rPr>
        <w:rFonts w:hint="default"/>
      </w:rPr>
    </w:lvl>
    <w:lvl w:ilvl="5" w:tplc="8E4ED206">
      <w:numFmt w:val="bullet"/>
      <w:lvlText w:val="•"/>
      <w:lvlJc w:val="left"/>
      <w:pPr>
        <w:ind w:left="4837" w:hanging="162"/>
      </w:pPr>
      <w:rPr>
        <w:rFonts w:hint="default"/>
      </w:rPr>
    </w:lvl>
    <w:lvl w:ilvl="6" w:tplc="EEACD3B2">
      <w:numFmt w:val="bullet"/>
      <w:lvlText w:val="•"/>
      <w:lvlJc w:val="left"/>
      <w:pPr>
        <w:ind w:left="5910" w:hanging="162"/>
      </w:pPr>
      <w:rPr>
        <w:rFonts w:hint="default"/>
      </w:rPr>
    </w:lvl>
    <w:lvl w:ilvl="7" w:tplc="0696FFD6">
      <w:numFmt w:val="bullet"/>
      <w:lvlText w:val="•"/>
      <w:lvlJc w:val="left"/>
      <w:pPr>
        <w:ind w:left="6982" w:hanging="162"/>
      </w:pPr>
      <w:rPr>
        <w:rFonts w:hint="default"/>
      </w:rPr>
    </w:lvl>
    <w:lvl w:ilvl="8" w:tplc="7BAAB4C6">
      <w:numFmt w:val="bullet"/>
      <w:lvlText w:val="•"/>
      <w:lvlJc w:val="left"/>
      <w:pPr>
        <w:ind w:left="8055" w:hanging="162"/>
      </w:pPr>
      <w:rPr>
        <w:rFonts w:hint="default"/>
      </w:rPr>
    </w:lvl>
  </w:abstractNum>
  <w:abstractNum w:abstractNumId="4" w15:restartNumberingAfterBreak="0">
    <w:nsid w:val="33A50972"/>
    <w:multiLevelType w:val="hybridMultilevel"/>
    <w:tmpl w:val="00A4FED4"/>
    <w:lvl w:ilvl="0" w:tplc="C774616A">
      <w:start w:val="1"/>
      <w:numFmt w:val="decimal"/>
      <w:lvlText w:val="%1."/>
      <w:lvlJc w:val="left"/>
      <w:pPr>
        <w:ind w:left="978" w:hanging="240"/>
      </w:pPr>
      <w:rPr>
        <w:rFonts w:ascii="Arial" w:eastAsia="Arial" w:hAnsi="Arial" w:cs="Arial" w:hint="default"/>
        <w:spacing w:val="-3"/>
        <w:w w:val="91"/>
        <w:sz w:val="24"/>
        <w:szCs w:val="24"/>
      </w:rPr>
    </w:lvl>
    <w:lvl w:ilvl="1" w:tplc="9FBC6836">
      <w:numFmt w:val="bullet"/>
      <w:lvlText w:val="•"/>
      <w:lvlJc w:val="left"/>
      <w:pPr>
        <w:ind w:left="1902" w:hanging="240"/>
      </w:pPr>
      <w:rPr>
        <w:rFonts w:hint="default"/>
      </w:rPr>
    </w:lvl>
    <w:lvl w:ilvl="2" w:tplc="74F0B1DC">
      <w:numFmt w:val="bullet"/>
      <w:lvlText w:val="•"/>
      <w:lvlJc w:val="left"/>
      <w:pPr>
        <w:ind w:left="2824" w:hanging="240"/>
      </w:pPr>
      <w:rPr>
        <w:rFonts w:hint="default"/>
      </w:rPr>
    </w:lvl>
    <w:lvl w:ilvl="3" w:tplc="D20EDC74">
      <w:numFmt w:val="bullet"/>
      <w:lvlText w:val="•"/>
      <w:lvlJc w:val="left"/>
      <w:pPr>
        <w:ind w:left="3746" w:hanging="240"/>
      </w:pPr>
      <w:rPr>
        <w:rFonts w:hint="default"/>
      </w:rPr>
    </w:lvl>
    <w:lvl w:ilvl="4" w:tplc="EEA011A0">
      <w:numFmt w:val="bullet"/>
      <w:lvlText w:val="•"/>
      <w:lvlJc w:val="left"/>
      <w:pPr>
        <w:ind w:left="4668" w:hanging="240"/>
      </w:pPr>
      <w:rPr>
        <w:rFonts w:hint="default"/>
      </w:rPr>
    </w:lvl>
    <w:lvl w:ilvl="5" w:tplc="A5A8B232">
      <w:numFmt w:val="bullet"/>
      <w:lvlText w:val="•"/>
      <w:lvlJc w:val="left"/>
      <w:pPr>
        <w:ind w:left="5590" w:hanging="240"/>
      </w:pPr>
      <w:rPr>
        <w:rFonts w:hint="default"/>
      </w:rPr>
    </w:lvl>
    <w:lvl w:ilvl="6" w:tplc="9B32470C">
      <w:numFmt w:val="bullet"/>
      <w:lvlText w:val="•"/>
      <w:lvlJc w:val="left"/>
      <w:pPr>
        <w:ind w:left="6512" w:hanging="240"/>
      </w:pPr>
      <w:rPr>
        <w:rFonts w:hint="default"/>
      </w:rPr>
    </w:lvl>
    <w:lvl w:ilvl="7" w:tplc="0AE0AC48">
      <w:numFmt w:val="bullet"/>
      <w:lvlText w:val="•"/>
      <w:lvlJc w:val="left"/>
      <w:pPr>
        <w:ind w:left="7434" w:hanging="240"/>
      </w:pPr>
      <w:rPr>
        <w:rFonts w:hint="default"/>
      </w:rPr>
    </w:lvl>
    <w:lvl w:ilvl="8" w:tplc="F3FEDE90">
      <w:numFmt w:val="bullet"/>
      <w:lvlText w:val="•"/>
      <w:lvlJc w:val="left"/>
      <w:pPr>
        <w:ind w:left="8356" w:hanging="240"/>
      </w:pPr>
      <w:rPr>
        <w:rFonts w:hint="default"/>
      </w:rPr>
    </w:lvl>
  </w:abstractNum>
  <w:abstractNum w:abstractNumId="5" w15:restartNumberingAfterBreak="0">
    <w:nsid w:val="492C6CCC"/>
    <w:multiLevelType w:val="hybridMultilevel"/>
    <w:tmpl w:val="4C6E8F0C"/>
    <w:lvl w:ilvl="0" w:tplc="6636950E">
      <w:start w:val="1"/>
      <w:numFmt w:val="decimal"/>
      <w:lvlText w:val="%1."/>
      <w:lvlJc w:val="left"/>
      <w:pPr>
        <w:ind w:left="618" w:hanging="240"/>
      </w:pPr>
      <w:rPr>
        <w:rFonts w:ascii="Arial" w:eastAsia="Arial" w:hAnsi="Arial" w:cs="Arial" w:hint="default"/>
        <w:spacing w:val="-3"/>
        <w:w w:val="91"/>
        <w:sz w:val="24"/>
        <w:szCs w:val="24"/>
      </w:rPr>
    </w:lvl>
    <w:lvl w:ilvl="1" w:tplc="B3F8C7BA">
      <w:start w:val="1"/>
      <w:numFmt w:val="decimal"/>
      <w:lvlText w:val="%2."/>
      <w:lvlJc w:val="left"/>
      <w:pPr>
        <w:ind w:left="978" w:hanging="240"/>
      </w:pPr>
      <w:rPr>
        <w:rFonts w:ascii="Arial" w:eastAsia="Arial" w:hAnsi="Arial" w:cs="Arial" w:hint="default"/>
        <w:spacing w:val="-3"/>
        <w:w w:val="91"/>
        <w:sz w:val="24"/>
        <w:szCs w:val="24"/>
      </w:rPr>
    </w:lvl>
    <w:lvl w:ilvl="2" w:tplc="D9F2C10E">
      <w:numFmt w:val="bullet"/>
      <w:lvlText w:val="•"/>
      <w:lvlJc w:val="left"/>
      <w:pPr>
        <w:ind w:left="2004" w:hanging="240"/>
      </w:pPr>
      <w:rPr>
        <w:rFonts w:hint="default"/>
      </w:rPr>
    </w:lvl>
    <w:lvl w:ilvl="3" w:tplc="BC84A64C">
      <w:numFmt w:val="bullet"/>
      <w:lvlText w:val="•"/>
      <w:lvlJc w:val="left"/>
      <w:pPr>
        <w:ind w:left="3028" w:hanging="240"/>
      </w:pPr>
      <w:rPr>
        <w:rFonts w:hint="default"/>
      </w:rPr>
    </w:lvl>
    <w:lvl w:ilvl="4" w:tplc="3C668526">
      <w:numFmt w:val="bullet"/>
      <w:lvlText w:val="•"/>
      <w:lvlJc w:val="left"/>
      <w:pPr>
        <w:ind w:left="4053" w:hanging="240"/>
      </w:pPr>
      <w:rPr>
        <w:rFonts w:hint="default"/>
      </w:rPr>
    </w:lvl>
    <w:lvl w:ilvl="5" w:tplc="AD6E023A">
      <w:numFmt w:val="bullet"/>
      <w:lvlText w:val="•"/>
      <w:lvlJc w:val="left"/>
      <w:pPr>
        <w:ind w:left="5077" w:hanging="240"/>
      </w:pPr>
      <w:rPr>
        <w:rFonts w:hint="default"/>
      </w:rPr>
    </w:lvl>
    <w:lvl w:ilvl="6" w:tplc="C49C444A">
      <w:numFmt w:val="bullet"/>
      <w:lvlText w:val="•"/>
      <w:lvlJc w:val="left"/>
      <w:pPr>
        <w:ind w:left="6102" w:hanging="240"/>
      </w:pPr>
      <w:rPr>
        <w:rFonts w:hint="default"/>
      </w:rPr>
    </w:lvl>
    <w:lvl w:ilvl="7" w:tplc="61FEA75E">
      <w:numFmt w:val="bullet"/>
      <w:lvlText w:val="•"/>
      <w:lvlJc w:val="left"/>
      <w:pPr>
        <w:ind w:left="7126" w:hanging="240"/>
      </w:pPr>
      <w:rPr>
        <w:rFonts w:hint="default"/>
      </w:rPr>
    </w:lvl>
    <w:lvl w:ilvl="8" w:tplc="56B4BE6E">
      <w:numFmt w:val="bullet"/>
      <w:lvlText w:val="•"/>
      <w:lvlJc w:val="left"/>
      <w:pPr>
        <w:ind w:left="8151" w:hanging="240"/>
      </w:pPr>
      <w:rPr>
        <w:rFonts w:hint="default"/>
      </w:rPr>
    </w:lvl>
  </w:abstractNum>
  <w:abstractNum w:abstractNumId="6" w15:restartNumberingAfterBreak="0">
    <w:nsid w:val="6F240BA1"/>
    <w:multiLevelType w:val="hybridMultilevel"/>
    <w:tmpl w:val="93B02D3C"/>
    <w:lvl w:ilvl="0" w:tplc="DFAA361C">
      <w:start w:val="1"/>
      <w:numFmt w:val="decimal"/>
      <w:lvlText w:val="%1."/>
      <w:lvlJc w:val="left"/>
      <w:pPr>
        <w:ind w:left="1021" w:hanging="229"/>
      </w:pPr>
      <w:rPr>
        <w:rFonts w:hint="default"/>
        <w:w w:val="91"/>
      </w:rPr>
    </w:lvl>
    <w:lvl w:ilvl="1" w:tplc="16D68A6A">
      <w:numFmt w:val="bullet"/>
      <w:lvlText w:val="•"/>
      <w:lvlJc w:val="left"/>
      <w:pPr>
        <w:ind w:left="1938" w:hanging="229"/>
      </w:pPr>
      <w:rPr>
        <w:rFonts w:hint="default"/>
      </w:rPr>
    </w:lvl>
    <w:lvl w:ilvl="2" w:tplc="AAA04AFE">
      <w:numFmt w:val="bullet"/>
      <w:lvlText w:val="•"/>
      <w:lvlJc w:val="left"/>
      <w:pPr>
        <w:ind w:left="2856" w:hanging="229"/>
      </w:pPr>
      <w:rPr>
        <w:rFonts w:hint="default"/>
      </w:rPr>
    </w:lvl>
    <w:lvl w:ilvl="3" w:tplc="5232BABC">
      <w:numFmt w:val="bullet"/>
      <w:lvlText w:val="•"/>
      <w:lvlJc w:val="left"/>
      <w:pPr>
        <w:ind w:left="3774" w:hanging="229"/>
      </w:pPr>
      <w:rPr>
        <w:rFonts w:hint="default"/>
      </w:rPr>
    </w:lvl>
    <w:lvl w:ilvl="4" w:tplc="411636CC">
      <w:numFmt w:val="bullet"/>
      <w:lvlText w:val="•"/>
      <w:lvlJc w:val="left"/>
      <w:pPr>
        <w:ind w:left="4692" w:hanging="229"/>
      </w:pPr>
      <w:rPr>
        <w:rFonts w:hint="default"/>
      </w:rPr>
    </w:lvl>
    <w:lvl w:ilvl="5" w:tplc="89761EF6">
      <w:numFmt w:val="bullet"/>
      <w:lvlText w:val="•"/>
      <w:lvlJc w:val="left"/>
      <w:pPr>
        <w:ind w:left="5610" w:hanging="229"/>
      </w:pPr>
      <w:rPr>
        <w:rFonts w:hint="default"/>
      </w:rPr>
    </w:lvl>
    <w:lvl w:ilvl="6" w:tplc="36164DB0">
      <w:numFmt w:val="bullet"/>
      <w:lvlText w:val="•"/>
      <w:lvlJc w:val="left"/>
      <w:pPr>
        <w:ind w:left="6528" w:hanging="229"/>
      </w:pPr>
      <w:rPr>
        <w:rFonts w:hint="default"/>
      </w:rPr>
    </w:lvl>
    <w:lvl w:ilvl="7" w:tplc="CF708882">
      <w:numFmt w:val="bullet"/>
      <w:lvlText w:val="•"/>
      <w:lvlJc w:val="left"/>
      <w:pPr>
        <w:ind w:left="7446" w:hanging="229"/>
      </w:pPr>
      <w:rPr>
        <w:rFonts w:hint="default"/>
      </w:rPr>
    </w:lvl>
    <w:lvl w:ilvl="8" w:tplc="7BB8E934">
      <w:numFmt w:val="bullet"/>
      <w:lvlText w:val="•"/>
      <w:lvlJc w:val="left"/>
      <w:pPr>
        <w:ind w:left="8364" w:hanging="229"/>
      </w:pPr>
      <w:rPr>
        <w:rFonts w:hint="default"/>
      </w:rPr>
    </w:lvl>
  </w:abstractNum>
  <w:abstractNum w:abstractNumId="7" w15:restartNumberingAfterBreak="0">
    <w:nsid w:val="79545309"/>
    <w:multiLevelType w:val="hybridMultilevel"/>
    <w:tmpl w:val="7756B834"/>
    <w:lvl w:ilvl="0" w:tplc="4454D8EC">
      <w:numFmt w:val="bullet"/>
      <w:lvlText w:val=""/>
      <w:lvlJc w:val="left"/>
      <w:pPr>
        <w:ind w:left="1100" w:hanging="163"/>
      </w:pPr>
      <w:rPr>
        <w:rFonts w:ascii="Symbol" w:eastAsia="Symbol" w:hAnsi="Symbol" w:cs="Symbol" w:hint="default"/>
        <w:w w:val="72"/>
        <w:sz w:val="22"/>
        <w:szCs w:val="22"/>
      </w:rPr>
    </w:lvl>
    <w:lvl w:ilvl="1" w:tplc="52EECE1C">
      <w:numFmt w:val="bullet"/>
      <w:lvlText w:val="o"/>
      <w:lvlJc w:val="left"/>
      <w:pPr>
        <w:ind w:left="1820" w:hanging="194"/>
      </w:pPr>
      <w:rPr>
        <w:rFonts w:ascii="Courier New" w:eastAsia="Courier New" w:hAnsi="Courier New" w:cs="Courier New" w:hint="default"/>
        <w:w w:val="100"/>
        <w:sz w:val="22"/>
        <w:szCs w:val="22"/>
      </w:rPr>
    </w:lvl>
    <w:lvl w:ilvl="2" w:tplc="C4FC91AA">
      <w:numFmt w:val="bullet"/>
      <w:lvlText w:val="•"/>
      <w:lvlJc w:val="left"/>
      <w:pPr>
        <w:ind w:left="2751" w:hanging="194"/>
      </w:pPr>
      <w:rPr>
        <w:rFonts w:hint="default"/>
      </w:rPr>
    </w:lvl>
    <w:lvl w:ilvl="3" w:tplc="8EC6C86C">
      <w:numFmt w:val="bullet"/>
      <w:lvlText w:val="•"/>
      <w:lvlJc w:val="left"/>
      <w:pPr>
        <w:ind w:left="3682" w:hanging="194"/>
      </w:pPr>
      <w:rPr>
        <w:rFonts w:hint="default"/>
      </w:rPr>
    </w:lvl>
    <w:lvl w:ilvl="4" w:tplc="4A58A7DA">
      <w:numFmt w:val="bullet"/>
      <w:lvlText w:val="•"/>
      <w:lvlJc w:val="left"/>
      <w:pPr>
        <w:ind w:left="4613" w:hanging="194"/>
      </w:pPr>
      <w:rPr>
        <w:rFonts w:hint="default"/>
      </w:rPr>
    </w:lvl>
    <w:lvl w:ilvl="5" w:tplc="EEEE9EC8">
      <w:numFmt w:val="bullet"/>
      <w:lvlText w:val="•"/>
      <w:lvlJc w:val="left"/>
      <w:pPr>
        <w:ind w:left="5544" w:hanging="194"/>
      </w:pPr>
      <w:rPr>
        <w:rFonts w:hint="default"/>
      </w:rPr>
    </w:lvl>
    <w:lvl w:ilvl="6" w:tplc="EEB07E4C">
      <w:numFmt w:val="bullet"/>
      <w:lvlText w:val="•"/>
      <w:lvlJc w:val="left"/>
      <w:pPr>
        <w:ind w:left="6475" w:hanging="194"/>
      </w:pPr>
      <w:rPr>
        <w:rFonts w:hint="default"/>
      </w:rPr>
    </w:lvl>
    <w:lvl w:ilvl="7" w:tplc="8E8AC736">
      <w:numFmt w:val="bullet"/>
      <w:lvlText w:val="•"/>
      <w:lvlJc w:val="left"/>
      <w:pPr>
        <w:ind w:left="7406" w:hanging="194"/>
      </w:pPr>
      <w:rPr>
        <w:rFonts w:hint="default"/>
      </w:rPr>
    </w:lvl>
    <w:lvl w:ilvl="8" w:tplc="F9C6E2DA">
      <w:numFmt w:val="bullet"/>
      <w:lvlText w:val="•"/>
      <w:lvlJc w:val="left"/>
      <w:pPr>
        <w:ind w:left="8337" w:hanging="194"/>
      </w:pPr>
      <w:rPr>
        <w:rFonts w:hint="default"/>
      </w:rPr>
    </w:lvl>
  </w:abstractNum>
  <w:num w:numId="1">
    <w:abstractNumId w:val="4"/>
  </w:num>
  <w:num w:numId="2">
    <w:abstractNumId w:val="6"/>
  </w:num>
  <w:num w:numId="3">
    <w:abstractNumId w:val="1"/>
  </w:num>
  <w:num w:numId="4">
    <w:abstractNumId w:val="7"/>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45758b"/>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A5"/>
    <w:rsid w:val="002F0576"/>
    <w:rsid w:val="00347E2E"/>
    <w:rsid w:val="00350D69"/>
    <w:rsid w:val="00542C74"/>
    <w:rsid w:val="005E0127"/>
    <w:rsid w:val="008270BA"/>
    <w:rsid w:val="0089197B"/>
    <w:rsid w:val="00901650"/>
    <w:rsid w:val="009D4B53"/>
    <w:rsid w:val="00A3515D"/>
    <w:rsid w:val="00A36BA5"/>
    <w:rsid w:val="00A933EC"/>
    <w:rsid w:val="00AF5978"/>
    <w:rsid w:val="00B2692E"/>
    <w:rsid w:val="00BE4382"/>
    <w:rsid w:val="00C12E1A"/>
    <w:rsid w:val="00D44A46"/>
    <w:rsid w:val="00E45CC1"/>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5758b"/>
    </o:shapedefaults>
    <o:shapelayout v:ext="edit">
      <o:idmap v:ext="edit" data="1"/>
    </o:shapelayout>
  </w:shapeDefaults>
  <w:decimalSymbol w:val="."/>
  <w:listSeparator w:val=","/>
  <w14:docId w14:val="30EB1A6E"/>
  <w15:docId w15:val="{97805DB4-3069-45EA-8162-31EEC48C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7"/>
      <w:ind w:left="573" w:right="646"/>
      <w:jc w:val="center"/>
      <w:outlineLvl w:val="0"/>
    </w:pPr>
    <w:rPr>
      <w:b/>
      <w:bCs/>
      <w:sz w:val="28"/>
      <w:szCs w:val="28"/>
    </w:rPr>
  </w:style>
  <w:style w:type="paragraph" w:styleId="Heading2">
    <w:name w:val="heading 2"/>
    <w:basedOn w:val="Normal"/>
    <w:uiPriority w:val="1"/>
    <w:qFormat/>
    <w:pPr>
      <w:spacing w:before="97"/>
      <w:ind w:left="573" w:right="646"/>
      <w:jc w:val="center"/>
      <w:outlineLvl w:val="1"/>
    </w:pPr>
    <w:rPr>
      <w:sz w:val="28"/>
      <w:szCs w:val="28"/>
    </w:rPr>
  </w:style>
  <w:style w:type="paragraph" w:styleId="Heading3">
    <w:name w:val="heading 3"/>
    <w:basedOn w:val="Normal"/>
    <w:uiPriority w:val="1"/>
    <w:qFormat/>
    <w:pPr>
      <w:ind w:left="380"/>
      <w:outlineLvl w:val="2"/>
    </w:pPr>
    <w:rPr>
      <w:b/>
      <w:bCs/>
      <w:sz w:val="24"/>
      <w:szCs w:val="24"/>
    </w:rPr>
  </w:style>
  <w:style w:type="paragraph" w:styleId="Heading4">
    <w:name w:val="heading 4"/>
    <w:basedOn w:val="Normal"/>
    <w:uiPriority w:val="1"/>
    <w:qFormat/>
    <w:pPr>
      <w:spacing w:before="1"/>
      <w:ind w:left="1453" w:right="1532"/>
      <w:jc w:val="center"/>
      <w:outlineLvl w:val="3"/>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47"/>
      <w:ind w:left="601"/>
    </w:pPr>
    <w:rPr>
      <w:b/>
      <w:bCs/>
    </w:rPr>
  </w:style>
  <w:style w:type="paragraph" w:styleId="TOC2">
    <w:name w:val="toc 2"/>
    <w:basedOn w:val="Normal"/>
    <w:uiPriority w:val="1"/>
    <w:qFormat/>
    <w:pPr>
      <w:spacing w:before="127"/>
      <w:ind w:left="601"/>
    </w:pPr>
  </w:style>
  <w:style w:type="paragraph" w:styleId="BodyText">
    <w:name w:val="Body Text"/>
    <w:basedOn w:val="Normal"/>
    <w:link w:val="BodyTextChar"/>
    <w:uiPriority w:val="1"/>
    <w:qFormat/>
    <w:rPr>
      <w:sz w:val="24"/>
      <w:szCs w:val="24"/>
    </w:rPr>
  </w:style>
  <w:style w:type="paragraph" w:styleId="Title">
    <w:name w:val="Title"/>
    <w:basedOn w:val="Normal"/>
    <w:uiPriority w:val="1"/>
    <w:qFormat/>
    <w:pPr>
      <w:spacing w:before="144"/>
      <w:ind w:left="1467" w:right="1734" w:hanging="1"/>
      <w:jc w:val="center"/>
    </w:pPr>
    <w:rPr>
      <w:sz w:val="72"/>
      <w:szCs w:val="72"/>
    </w:rPr>
  </w:style>
  <w:style w:type="paragraph" w:styleId="ListParagraph">
    <w:name w:val="List Paragraph"/>
    <w:basedOn w:val="Normal"/>
    <w:uiPriority w:val="1"/>
    <w:qFormat/>
    <w:pPr>
      <w:ind w:left="1100" w:hanging="360"/>
    </w:pPr>
  </w:style>
  <w:style w:type="paragraph" w:customStyle="1" w:styleId="TableParagraph">
    <w:name w:val="Table Paragraph"/>
    <w:basedOn w:val="Normal"/>
    <w:uiPriority w:val="1"/>
    <w:qFormat/>
    <w:pPr>
      <w:spacing w:before="55"/>
    </w:pPr>
  </w:style>
  <w:style w:type="paragraph" w:styleId="Header">
    <w:name w:val="header"/>
    <w:basedOn w:val="Normal"/>
    <w:link w:val="HeaderChar"/>
    <w:uiPriority w:val="99"/>
    <w:unhideWhenUsed/>
    <w:rsid w:val="008270BA"/>
    <w:pPr>
      <w:tabs>
        <w:tab w:val="center" w:pos="4252"/>
        <w:tab w:val="right" w:pos="8504"/>
      </w:tabs>
    </w:pPr>
  </w:style>
  <w:style w:type="character" w:customStyle="1" w:styleId="HeaderChar">
    <w:name w:val="Header Char"/>
    <w:basedOn w:val="DefaultParagraphFont"/>
    <w:link w:val="Header"/>
    <w:uiPriority w:val="99"/>
    <w:rsid w:val="008270BA"/>
    <w:rPr>
      <w:rFonts w:ascii="Arial" w:eastAsia="Arial" w:hAnsi="Arial" w:cs="Arial"/>
    </w:rPr>
  </w:style>
  <w:style w:type="paragraph" w:styleId="Footer">
    <w:name w:val="footer"/>
    <w:basedOn w:val="Normal"/>
    <w:link w:val="FooterChar"/>
    <w:uiPriority w:val="99"/>
    <w:unhideWhenUsed/>
    <w:rsid w:val="008270BA"/>
    <w:pPr>
      <w:tabs>
        <w:tab w:val="center" w:pos="4252"/>
        <w:tab w:val="right" w:pos="8504"/>
      </w:tabs>
    </w:pPr>
  </w:style>
  <w:style w:type="character" w:customStyle="1" w:styleId="FooterChar">
    <w:name w:val="Footer Char"/>
    <w:basedOn w:val="DefaultParagraphFont"/>
    <w:link w:val="Footer"/>
    <w:uiPriority w:val="99"/>
    <w:rsid w:val="008270BA"/>
    <w:rPr>
      <w:rFonts w:ascii="Arial" w:eastAsia="Arial" w:hAnsi="Arial" w:cs="Arial"/>
    </w:rPr>
  </w:style>
  <w:style w:type="character" w:customStyle="1" w:styleId="BodyTextChar">
    <w:name w:val="Body Text Char"/>
    <w:basedOn w:val="DefaultParagraphFont"/>
    <w:link w:val="BodyText"/>
    <w:uiPriority w:val="1"/>
    <w:rsid w:val="005E0127"/>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yperlink" Target="http://www.phila.gov/media/20190130113435/December-2018-Jail-Population-Report.pdf" TargetMode="External"/><Relationship Id="rId3" Type="http://schemas.openxmlformats.org/officeDocument/2006/relationships/settings" Target="settings.xml"/><Relationship Id="rId21" Type="http://schemas.openxmlformats.org/officeDocument/2006/relationships/hyperlink" Target="http://www.phila.gov/media/20191101092716/HIV_10_30_2019_FINAL_web.pdf"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http://www.ncbi.nlm.nih.gov/books/NBK519591/"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hiv.gov/federal-response/ending-the-" TargetMode="External"/><Relationship Id="rId29" Type="http://schemas.openxmlformats.org/officeDocument/2006/relationships/hyperlink" Target="http://www.cdc.gov/mmwr/volumes/68/wr/mm6825a2.htm?s_cid=mm6825a2_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v.gov/federal-response/ending-the-hiv-epidemic/overview" TargetMode="External"/><Relationship Id="rId24" Type="http://schemas.openxmlformats.org/officeDocument/2006/relationships/hyperlink" Target="http://philadelphiaofficeofhomelessservices.org/know-homelessness/point-in-time-count/" TargetMode="External"/><Relationship Id="rId5" Type="http://schemas.openxmlformats.org/officeDocument/2006/relationships/footnotes" Target="footnotes.xml"/><Relationship Id="rId15" Type="http://schemas.openxmlformats.org/officeDocument/2006/relationships/hyperlink" Target="http://www.PhillyKeepOnLoving.com/" TargetMode="External"/><Relationship Id="rId23" Type="http://schemas.openxmlformats.org/officeDocument/2006/relationships/hyperlink" Target="http://www.pewtrusts.org/-/media/assets/2019/10/sotc_2019.pdf" TargetMode="External"/><Relationship Id="rId28" Type="http://schemas.openxmlformats.org/officeDocument/2006/relationships/hyperlink" Target="http://www.cdc.gov/hiv/programresources/guidance/molecular-cluster-identification/qa.html" TargetMode="External"/><Relationship Id="rId10" Type="http://schemas.openxmlformats.org/officeDocument/2006/relationships/hyperlink" Target="http://www.phila.gov/media/20191101092716/HIV_10_30_2019_FINAL_web.pdf"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www.cdc.gov/hiv/pdf/policies/cdc-hiv-transgender-brief.pdf" TargetMode="External"/><Relationship Id="rId27" Type="http://schemas.openxmlformats.org/officeDocument/2006/relationships/hyperlink" Target="http://www.cdc.gov/mmwr/volumes/68/wr/mm6811e1.htm?s_cid=mm6811e1_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48</Pages>
  <Words>14862</Words>
  <Characters>84715</Characters>
  <Application>Microsoft Office Word</Application>
  <DocSecurity>0</DocSecurity>
  <Lines>705</Lines>
  <Paragraphs>198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 Betancourt</dc:creator>
  <cp:lastModifiedBy>Maricarmen Betancourt</cp:lastModifiedBy>
  <cp:revision>3</cp:revision>
  <dcterms:created xsi:type="dcterms:W3CDTF">2021-05-14T14:25:00Z</dcterms:created>
  <dcterms:modified xsi:type="dcterms:W3CDTF">2021-05-14T14:51:00Z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LastSaved">
    <vt:filetime>2021-04-06T00:00:00Z</vt:filetime>
  </property>
</Properties>
</file>